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8A24" w14:textId="42D789E0" w:rsidR="00656CC6" w:rsidRPr="002B34F8" w:rsidRDefault="00656CC6" w:rsidP="00656CC6">
      <w:pPr>
        <w:rPr>
          <w:color w:val="000000" w:themeColor="text1"/>
        </w:rPr>
      </w:pPr>
      <w:r w:rsidRPr="002B34F8">
        <w:rPr>
          <w:color w:val="000000" w:themeColor="text1"/>
        </w:rPr>
        <w:t>G</w:t>
      </w:r>
      <w:r w:rsidR="00F142AE">
        <w:rPr>
          <w:color w:val="000000" w:themeColor="text1"/>
        </w:rPr>
        <w:t xml:space="preserve">minny Zakład </w:t>
      </w:r>
      <w:r w:rsidRPr="002B34F8">
        <w:rPr>
          <w:color w:val="000000" w:themeColor="text1"/>
        </w:rPr>
        <w:t>K</w:t>
      </w:r>
      <w:r w:rsidR="00F142AE">
        <w:rPr>
          <w:color w:val="000000" w:themeColor="text1"/>
        </w:rPr>
        <w:t>omunalny</w:t>
      </w:r>
      <w:r w:rsidRPr="002B34F8">
        <w:rPr>
          <w:color w:val="000000" w:themeColor="text1"/>
        </w:rPr>
        <w:t xml:space="preserve"> </w:t>
      </w:r>
      <w:r w:rsidR="00F142AE">
        <w:rPr>
          <w:color w:val="000000" w:themeColor="text1"/>
        </w:rPr>
        <w:t>S</w:t>
      </w:r>
      <w:r w:rsidRPr="002B34F8">
        <w:rPr>
          <w:color w:val="000000" w:themeColor="text1"/>
        </w:rPr>
        <w:t>p. z o.o.</w:t>
      </w:r>
    </w:p>
    <w:p w14:paraId="2ED63CCE" w14:textId="77777777" w:rsidR="00656CC6" w:rsidRPr="002B34F8" w:rsidRDefault="00656CC6" w:rsidP="00656CC6">
      <w:pPr>
        <w:rPr>
          <w:color w:val="000000" w:themeColor="text1"/>
        </w:rPr>
      </w:pPr>
    </w:p>
    <w:p w14:paraId="6BE76760" w14:textId="77777777" w:rsidR="00656CC6" w:rsidRPr="002B34F8" w:rsidRDefault="00656CC6" w:rsidP="00656CC6">
      <w:pPr>
        <w:rPr>
          <w:color w:val="000000" w:themeColor="text1"/>
        </w:rPr>
      </w:pPr>
    </w:p>
    <w:p w14:paraId="3E655B92" w14:textId="77777777" w:rsidR="00656CC6" w:rsidRDefault="00656CC6" w:rsidP="00656CC6">
      <w:pPr>
        <w:rPr>
          <w:color w:val="000000" w:themeColor="text1"/>
        </w:rPr>
      </w:pPr>
    </w:p>
    <w:p w14:paraId="5176B3B3" w14:textId="77777777" w:rsidR="00656CC6" w:rsidRPr="002B34F8" w:rsidRDefault="00656CC6" w:rsidP="00656CC6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7BD4CE0C" wp14:editId="2DF1A1F7">
            <wp:extent cx="2054224" cy="636701"/>
            <wp:effectExtent l="0" t="0" r="3810" b="0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0A4DB16-3E71-4630-ACC8-5F7724EC50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0A4DB16-3E71-4630-ACC8-5F7724EC50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4" cy="6367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1D8B4B1" w14:textId="77777777" w:rsidR="00656CC6" w:rsidRPr="002B34F8" w:rsidRDefault="00656CC6" w:rsidP="00656CC6">
      <w:pPr>
        <w:rPr>
          <w:color w:val="000000" w:themeColor="text1"/>
        </w:rPr>
      </w:pPr>
    </w:p>
    <w:p w14:paraId="0198BBE7" w14:textId="77777777" w:rsidR="00656CC6" w:rsidRPr="002B34F8" w:rsidRDefault="00656CC6" w:rsidP="00656CC6">
      <w:pPr>
        <w:rPr>
          <w:color w:val="000000" w:themeColor="text1"/>
        </w:rPr>
      </w:pPr>
    </w:p>
    <w:p w14:paraId="5B6D38F9" w14:textId="77777777" w:rsidR="00656CC6" w:rsidRPr="002B34F8" w:rsidRDefault="00656CC6" w:rsidP="00656CC6">
      <w:pPr>
        <w:rPr>
          <w:color w:val="000000" w:themeColor="text1"/>
        </w:rPr>
      </w:pPr>
    </w:p>
    <w:p w14:paraId="082FA12C" w14:textId="77777777" w:rsidR="00656CC6" w:rsidRPr="002B34F8" w:rsidRDefault="00656CC6" w:rsidP="00656CC6">
      <w:pPr>
        <w:rPr>
          <w:color w:val="000000" w:themeColor="text1"/>
        </w:rPr>
      </w:pPr>
    </w:p>
    <w:p w14:paraId="2646C577" w14:textId="77777777" w:rsidR="00656CC6" w:rsidRPr="002B34F8" w:rsidRDefault="00656CC6" w:rsidP="00656CC6">
      <w:pPr>
        <w:jc w:val="center"/>
        <w:rPr>
          <w:color w:val="000000" w:themeColor="text1"/>
          <w:sz w:val="40"/>
          <w:szCs w:val="40"/>
        </w:rPr>
      </w:pPr>
      <w:r w:rsidRPr="002B34F8">
        <w:rPr>
          <w:color w:val="000000" w:themeColor="text1"/>
          <w:sz w:val="40"/>
          <w:szCs w:val="40"/>
        </w:rPr>
        <w:t>SPECYFIKACJA WARUNKÓW ZAMÓWIENIA</w:t>
      </w:r>
    </w:p>
    <w:p w14:paraId="04122DB7" w14:textId="77777777" w:rsidR="00656CC6" w:rsidRPr="002B34F8" w:rsidRDefault="00656CC6" w:rsidP="00656CC6">
      <w:pPr>
        <w:jc w:val="center"/>
        <w:rPr>
          <w:color w:val="000000" w:themeColor="text1"/>
        </w:rPr>
      </w:pPr>
      <w:r w:rsidRPr="002B34F8">
        <w:rPr>
          <w:color w:val="000000" w:themeColor="text1"/>
        </w:rPr>
        <w:t>Dla przetargu nieograniczonego na dostawy</w:t>
      </w:r>
    </w:p>
    <w:p w14:paraId="487083E5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1F80CDCC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2B63CA47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2E53BDFE" w14:textId="77777777" w:rsidR="00656CC6" w:rsidRPr="002B34F8" w:rsidRDefault="00656CC6" w:rsidP="00656CC6">
      <w:pPr>
        <w:rPr>
          <w:color w:val="000000" w:themeColor="text1"/>
        </w:rPr>
      </w:pPr>
      <w:r w:rsidRPr="002B34F8">
        <w:rPr>
          <w:color w:val="000000" w:themeColor="text1"/>
        </w:rPr>
        <w:t xml:space="preserve">Nazwa zamówienia: </w:t>
      </w:r>
    </w:p>
    <w:p w14:paraId="5DAC7597" w14:textId="77777777" w:rsidR="00656CC6" w:rsidRPr="002B34F8" w:rsidRDefault="00656CC6" w:rsidP="00656CC6">
      <w:pPr>
        <w:rPr>
          <w:color w:val="000000" w:themeColor="text1"/>
        </w:rPr>
      </w:pPr>
    </w:p>
    <w:p w14:paraId="3C280429" w14:textId="18DBF1C6" w:rsidR="00656CC6" w:rsidRPr="002B34F8" w:rsidRDefault="00656CC6" w:rsidP="00656CC6">
      <w:pPr>
        <w:jc w:val="center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„Sukcesywna dostawa materiałów remontowych i eksploatacyjnych sieci wodociągowych</w:t>
      </w:r>
      <w:r w:rsidR="00DB56D1">
        <w:rPr>
          <w:b/>
          <w:bCs/>
          <w:color w:val="000000" w:themeColor="text1"/>
        </w:rPr>
        <w:t xml:space="preserve">  </w:t>
      </w:r>
      <w:r w:rsidRPr="002B34F8">
        <w:rPr>
          <w:b/>
          <w:bCs/>
          <w:color w:val="000000" w:themeColor="text1"/>
        </w:rPr>
        <w:t xml:space="preserve"> i kanalizacyjnych”</w:t>
      </w:r>
    </w:p>
    <w:p w14:paraId="66347EB8" w14:textId="77777777" w:rsidR="00656CC6" w:rsidRPr="002B34F8" w:rsidRDefault="00656CC6" w:rsidP="00656CC6">
      <w:pPr>
        <w:rPr>
          <w:color w:val="000000" w:themeColor="text1"/>
        </w:rPr>
      </w:pPr>
    </w:p>
    <w:p w14:paraId="06EE5348" w14:textId="77777777" w:rsidR="00656CC6" w:rsidRPr="002B34F8" w:rsidRDefault="00656CC6" w:rsidP="00656CC6">
      <w:pPr>
        <w:rPr>
          <w:color w:val="000000" w:themeColor="text1"/>
        </w:rPr>
      </w:pPr>
    </w:p>
    <w:p w14:paraId="7FFD9CFC" w14:textId="77777777" w:rsidR="00656CC6" w:rsidRPr="002B34F8" w:rsidRDefault="00656CC6" w:rsidP="00656CC6">
      <w:pPr>
        <w:jc w:val="center"/>
        <w:rPr>
          <w:i/>
          <w:iCs/>
          <w:color w:val="000000" w:themeColor="text1"/>
        </w:rPr>
      </w:pPr>
      <w:r w:rsidRPr="002B34F8">
        <w:rPr>
          <w:i/>
          <w:iCs/>
          <w:color w:val="000000" w:themeColor="text1"/>
        </w:rPr>
        <w:t>(sektorowe zamówienie podprogowe, którego wartość jest równa lub przekracza kwotę 130 000 zł, a jednocześnie nie przekracza progów unijnych.</w:t>
      </w:r>
    </w:p>
    <w:p w14:paraId="3F7C79B7" w14:textId="77778C1D" w:rsidR="00656CC6" w:rsidRPr="002B34F8" w:rsidRDefault="00656CC6" w:rsidP="00656CC6">
      <w:pPr>
        <w:jc w:val="center"/>
        <w:rPr>
          <w:i/>
          <w:iCs/>
          <w:color w:val="000000" w:themeColor="text1"/>
        </w:rPr>
      </w:pPr>
      <w:r w:rsidRPr="002B34F8">
        <w:rPr>
          <w:i/>
          <w:iCs/>
          <w:color w:val="000000" w:themeColor="text1"/>
        </w:rPr>
        <w:t xml:space="preserve">Zamówienie nie podlega ustawie na podstawie art. 2 ust. 1 pkt 2 ustawy </w:t>
      </w:r>
      <w:r w:rsidR="00DB56D1">
        <w:rPr>
          <w:i/>
          <w:iCs/>
          <w:color w:val="000000" w:themeColor="text1"/>
        </w:rPr>
        <w:t>P</w:t>
      </w:r>
      <w:r w:rsidRPr="002B34F8">
        <w:rPr>
          <w:i/>
          <w:iCs/>
          <w:color w:val="000000" w:themeColor="text1"/>
        </w:rPr>
        <w:t>zp)</w:t>
      </w:r>
    </w:p>
    <w:p w14:paraId="25563939" w14:textId="77777777" w:rsidR="00656CC6" w:rsidRPr="002B34F8" w:rsidRDefault="00656CC6" w:rsidP="00656CC6">
      <w:pPr>
        <w:jc w:val="center"/>
        <w:rPr>
          <w:i/>
          <w:iCs/>
          <w:color w:val="000000" w:themeColor="text1"/>
        </w:rPr>
      </w:pPr>
    </w:p>
    <w:p w14:paraId="77DE0E14" w14:textId="77777777" w:rsidR="00656CC6" w:rsidRPr="002B34F8" w:rsidRDefault="00656CC6" w:rsidP="00656CC6">
      <w:pPr>
        <w:rPr>
          <w:color w:val="000000" w:themeColor="text1"/>
        </w:rPr>
      </w:pPr>
    </w:p>
    <w:p w14:paraId="1CCF1552" w14:textId="77777777" w:rsidR="00656CC6" w:rsidRPr="002B34F8" w:rsidRDefault="00656CC6" w:rsidP="00656CC6">
      <w:pPr>
        <w:rPr>
          <w:color w:val="000000" w:themeColor="text1"/>
        </w:rPr>
      </w:pPr>
    </w:p>
    <w:p w14:paraId="4F71AE99" w14:textId="77777777" w:rsidR="00656CC6" w:rsidRPr="002B34F8" w:rsidRDefault="00656CC6" w:rsidP="00656CC6">
      <w:pPr>
        <w:rPr>
          <w:color w:val="000000" w:themeColor="text1"/>
        </w:rPr>
      </w:pPr>
    </w:p>
    <w:p w14:paraId="57440C2E" w14:textId="77777777" w:rsidR="00656CC6" w:rsidRPr="002B34F8" w:rsidRDefault="00656CC6" w:rsidP="00656CC6">
      <w:pPr>
        <w:rPr>
          <w:color w:val="000000" w:themeColor="text1"/>
        </w:rPr>
      </w:pPr>
    </w:p>
    <w:p w14:paraId="6894306D" w14:textId="77777777" w:rsidR="00656CC6" w:rsidRPr="002B34F8" w:rsidRDefault="00656CC6" w:rsidP="00656CC6">
      <w:pPr>
        <w:rPr>
          <w:color w:val="000000" w:themeColor="text1"/>
        </w:rPr>
      </w:pPr>
    </w:p>
    <w:p w14:paraId="1812BF22" w14:textId="77777777" w:rsidR="00656CC6" w:rsidRPr="002B34F8" w:rsidRDefault="00656CC6" w:rsidP="00656CC6">
      <w:pPr>
        <w:rPr>
          <w:color w:val="000000" w:themeColor="text1"/>
        </w:rPr>
      </w:pPr>
    </w:p>
    <w:p w14:paraId="223B46A8" w14:textId="77777777" w:rsidR="00656CC6" w:rsidRPr="002B34F8" w:rsidRDefault="00656CC6" w:rsidP="00656CC6">
      <w:pPr>
        <w:rPr>
          <w:color w:val="000000" w:themeColor="text1"/>
        </w:rPr>
      </w:pPr>
    </w:p>
    <w:p w14:paraId="57126390" w14:textId="77777777" w:rsidR="00656CC6" w:rsidRPr="002B34F8" w:rsidRDefault="00656CC6" w:rsidP="00656CC6">
      <w:pPr>
        <w:rPr>
          <w:color w:val="000000" w:themeColor="text1"/>
        </w:rPr>
      </w:pPr>
    </w:p>
    <w:p w14:paraId="77825E8E" w14:textId="77777777" w:rsidR="00656CC6" w:rsidRPr="002B34F8" w:rsidRDefault="00656CC6" w:rsidP="00656CC6">
      <w:pPr>
        <w:rPr>
          <w:color w:val="000000" w:themeColor="text1"/>
        </w:rPr>
      </w:pPr>
    </w:p>
    <w:p w14:paraId="5F726638" w14:textId="77777777" w:rsidR="00656CC6" w:rsidRPr="002B34F8" w:rsidRDefault="00656CC6" w:rsidP="00656CC6">
      <w:pPr>
        <w:rPr>
          <w:color w:val="000000" w:themeColor="text1"/>
        </w:rPr>
      </w:pPr>
    </w:p>
    <w:p w14:paraId="42C85D44" w14:textId="77777777" w:rsidR="00656CC6" w:rsidRPr="002B34F8" w:rsidRDefault="00656CC6" w:rsidP="00656CC6">
      <w:pPr>
        <w:rPr>
          <w:color w:val="000000" w:themeColor="text1"/>
        </w:rPr>
      </w:pPr>
    </w:p>
    <w:p w14:paraId="1BAEDB43" w14:textId="77777777" w:rsidR="00656CC6" w:rsidRPr="002B34F8" w:rsidRDefault="00656CC6" w:rsidP="00656CC6">
      <w:pPr>
        <w:rPr>
          <w:color w:val="000000" w:themeColor="text1"/>
        </w:rPr>
      </w:pPr>
    </w:p>
    <w:p w14:paraId="1E1E5FDA" w14:textId="77777777" w:rsidR="00656CC6" w:rsidRPr="002B34F8" w:rsidRDefault="00656CC6" w:rsidP="00656CC6">
      <w:pPr>
        <w:rPr>
          <w:color w:val="000000" w:themeColor="text1"/>
        </w:rPr>
      </w:pPr>
    </w:p>
    <w:p w14:paraId="0E4FDEC1" w14:textId="77777777" w:rsidR="00656CC6" w:rsidRDefault="00656CC6" w:rsidP="00656CC6">
      <w:pPr>
        <w:rPr>
          <w:color w:val="000000" w:themeColor="text1"/>
        </w:rPr>
      </w:pPr>
    </w:p>
    <w:p w14:paraId="29213A34" w14:textId="77777777" w:rsidR="00656CC6" w:rsidRPr="002B34F8" w:rsidRDefault="00656CC6" w:rsidP="00656CC6">
      <w:pPr>
        <w:rPr>
          <w:color w:val="000000" w:themeColor="text1"/>
        </w:rPr>
      </w:pPr>
    </w:p>
    <w:p w14:paraId="7AC2972E" w14:textId="61D12AF8" w:rsidR="00656CC6" w:rsidRDefault="00656CC6" w:rsidP="00656CC6">
      <w:pPr>
        <w:rPr>
          <w:color w:val="000000" w:themeColor="text1"/>
        </w:rPr>
      </w:pPr>
    </w:p>
    <w:p w14:paraId="306A48B5" w14:textId="78740EB5" w:rsidR="00F142AE" w:rsidRDefault="00F142AE" w:rsidP="00656CC6">
      <w:pPr>
        <w:rPr>
          <w:color w:val="000000" w:themeColor="text1"/>
        </w:rPr>
      </w:pPr>
    </w:p>
    <w:p w14:paraId="1765367C" w14:textId="77777777" w:rsidR="00F142AE" w:rsidRPr="002B34F8" w:rsidRDefault="00F142AE" w:rsidP="00656CC6">
      <w:pPr>
        <w:rPr>
          <w:color w:val="000000" w:themeColor="text1"/>
        </w:rPr>
      </w:pPr>
    </w:p>
    <w:p w14:paraId="162ECC0E" w14:textId="77777777" w:rsidR="00656CC6" w:rsidRPr="002B34F8" w:rsidRDefault="00656CC6" w:rsidP="00656CC6">
      <w:pPr>
        <w:rPr>
          <w:color w:val="000000" w:themeColor="text1"/>
        </w:rPr>
      </w:pPr>
    </w:p>
    <w:p w14:paraId="1C56F0CE" w14:textId="41A949EC" w:rsidR="00656CC6" w:rsidRPr="002B34F8" w:rsidRDefault="00656CC6" w:rsidP="00656CC6">
      <w:pPr>
        <w:jc w:val="center"/>
        <w:rPr>
          <w:color w:val="000000" w:themeColor="text1"/>
        </w:rPr>
      </w:pPr>
      <w:r w:rsidRPr="002B34F8">
        <w:rPr>
          <w:color w:val="000000" w:themeColor="text1"/>
        </w:rPr>
        <w:t xml:space="preserve">Brzeźnica, </w:t>
      </w:r>
      <w:r w:rsidR="00DB56D1" w:rsidRPr="00F048B3">
        <w:rPr>
          <w:color w:val="000000" w:themeColor="text1"/>
        </w:rPr>
        <w:t>marzec</w:t>
      </w:r>
      <w:r w:rsidRPr="00F048B3">
        <w:rPr>
          <w:color w:val="000000" w:themeColor="text1"/>
        </w:rPr>
        <w:t xml:space="preserve"> 2</w:t>
      </w:r>
      <w:r w:rsidRPr="002B34F8">
        <w:rPr>
          <w:color w:val="000000" w:themeColor="text1"/>
        </w:rPr>
        <w:t>02</w:t>
      </w:r>
      <w:r w:rsidR="00DB56D1">
        <w:rPr>
          <w:color w:val="000000" w:themeColor="text1"/>
        </w:rPr>
        <w:t>2</w:t>
      </w:r>
      <w:r w:rsidRPr="002B34F8">
        <w:rPr>
          <w:color w:val="000000" w:themeColor="text1"/>
        </w:rPr>
        <w:t xml:space="preserve"> r. </w:t>
      </w:r>
    </w:p>
    <w:p w14:paraId="4E60DFC2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lastRenderedPageBreak/>
        <w:t>Zamawiający</w:t>
      </w:r>
    </w:p>
    <w:p w14:paraId="7574F5E8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230ABCB8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Nazwa: Gminny Zakład Komunalny Spółka z ograniczoną odpowiedzialnością</w:t>
      </w:r>
    </w:p>
    <w:p w14:paraId="6DF6A6FF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Adres: ul. Źródlana 4, 39-207 Brzeźnica</w:t>
      </w:r>
    </w:p>
    <w:p w14:paraId="2A7181C5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NIP 8722412408</w:t>
      </w:r>
    </w:p>
    <w:p w14:paraId="5F8C233A" w14:textId="77777777" w:rsidR="00656CC6" w:rsidRPr="00880A9C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880A9C">
        <w:rPr>
          <w:color w:val="000000" w:themeColor="text1"/>
          <w:sz w:val="20"/>
          <w:szCs w:val="20"/>
          <w:lang w:val="en-US"/>
        </w:rPr>
        <w:t>REGON:363363170</w:t>
      </w:r>
    </w:p>
    <w:p w14:paraId="1E305EE9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2B34F8">
        <w:rPr>
          <w:color w:val="000000" w:themeColor="text1"/>
          <w:sz w:val="20"/>
          <w:szCs w:val="20"/>
          <w:lang w:val="en-US"/>
        </w:rPr>
        <w:t>KRS:0000594538</w:t>
      </w:r>
    </w:p>
    <w:p w14:paraId="40B5C744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2B34F8">
        <w:rPr>
          <w:color w:val="000000" w:themeColor="text1"/>
          <w:sz w:val="20"/>
          <w:szCs w:val="20"/>
          <w:lang w:val="en-US"/>
        </w:rPr>
        <w:t>Tel./fax:(14)6828732</w:t>
      </w:r>
    </w:p>
    <w:p w14:paraId="18AA6581" w14:textId="77777777" w:rsidR="00656CC6" w:rsidRPr="002B34F8" w:rsidRDefault="00656CC6" w:rsidP="00656CC6">
      <w:pPr>
        <w:pStyle w:val="Nagwek2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2B34F8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               e-mail: biuro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@</w:t>
      </w:r>
      <w:r w:rsidRPr="002B34F8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gzkbrzeznica.pl</w:t>
      </w:r>
    </w:p>
    <w:p w14:paraId="5C04CB9F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2B34F8">
        <w:rPr>
          <w:color w:val="000000" w:themeColor="text1"/>
          <w:sz w:val="20"/>
          <w:szCs w:val="20"/>
          <w:lang w:val="en-US"/>
        </w:rPr>
        <w:t>witryna:</w:t>
      </w:r>
      <w:r w:rsidRPr="002B34F8">
        <w:rPr>
          <w:color w:val="000000" w:themeColor="text1"/>
          <w:lang w:val="en-US"/>
        </w:rPr>
        <w:t xml:space="preserve"> </w:t>
      </w:r>
      <w:r w:rsidRPr="002B34F8">
        <w:rPr>
          <w:color w:val="000000" w:themeColor="text1"/>
          <w:sz w:val="20"/>
          <w:szCs w:val="20"/>
          <w:lang w:val="en-US"/>
        </w:rPr>
        <w:t>https://</w:t>
      </w:r>
      <w:r>
        <w:rPr>
          <w:color w:val="000000" w:themeColor="text1"/>
          <w:sz w:val="20"/>
          <w:szCs w:val="20"/>
          <w:lang w:val="en-US"/>
        </w:rPr>
        <w:t>www.</w:t>
      </w:r>
      <w:r w:rsidRPr="002B34F8">
        <w:rPr>
          <w:color w:val="000000" w:themeColor="text1"/>
          <w:sz w:val="20"/>
          <w:szCs w:val="20"/>
          <w:lang w:val="en-US"/>
        </w:rPr>
        <w:t>gzkbrzeznica.pl/</w:t>
      </w:r>
    </w:p>
    <w:p w14:paraId="3F0470B9" w14:textId="77777777" w:rsidR="00656CC6" w:rsidRPr="002B34F8" w:rsidRDefault="00656CC6" w:rsidP="00656CC6">
      <w:pPr>
        <w:rPr>
          <w:color w:val="000000" w:themeColor="text1"/>
          <w:sz w:val="20"/>
          <w:szCs w:val="20"/>
          <w:lang w:val="en-US"/>
        </w:rPr>
      </w:pPr>
    </w:p>
    <w:p w14:paraId="28653A82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Informacje ogólne o postępowaniu</w:t>
      </w:r>
    </w:p>
    <w:p w14:paraId="4E8243C6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766EE5C2" w14:textId="58C972C8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Przedmiotowe zamówienie jest udzielane w celu wykonywania działalności sektorowej, o której mowa w art. 5 ust. 4 pkt 1 i ust. 5 ustawy z dnia 11 września 2019 r. Prawo zamówień publicznych (Dz. U. </w:t>
      </w:r>
      <w:r w:rsidR="00DB56D1">
        <w:rPr>
          <w:color w:val="000000" w:themeColor="text1"/>
          <w:sz w:val="20"/>
          <w:szCs w:val="20"/>
        </w:rPr>
        <w:t xml:space="preserve">                </w:t>
      </w:r>
      <w:r w:rsidRPr="002B34F8">
        <w:rPr>
          <w:color w:val="000000" w:themeColor="text1"/>
          <w:sz w:val="20"/>
          <w:szCs w:val="20"/>
        </w:rPr>
        <w:t>z 2019 poz. 2019</w:t>
      </w:r>
      <w:r w:rsidR="00DB56D1">
        <w:rPr>
          <w:color w:val="000000" w:themeColor="text1"/>
          <w:sz w:val="20"/>
          <w:szCs w:val="20"/>
        </w:rPr>
        <w:t xml:space="preserve"> z pó</w:t>
      </w:r>
      <w:r w:rsidR="00F142AE">
        <w:rPr>
          <w:color w:val="000000" w:themeColor="text1"/>
          <w:sz w:val="20"/>
          <w:szCs w:val="20"/>
        </w:rPr>
        <w:t>ź</w:t>
      </w:r>
      <w:r w:rsidR="00DB56D1">
        <w:rPr>
          <w:color w:val="000000" w:themeColor="text1"/>
          <w:sz w:val="20"/>
          <w:szCs w:val="20"/>
        </w:rPr>
        <w:t xml:space="preserve">n. </w:t>
      </w:r>
      <w:r w:rsidR="00F142AE">
        <w:rPr>
          <w:color w:val="000000" w:themeColor="text1"/>
          <w:sz w:val="20"/>
          <w:szCs w:val="20"/>
        </w:rPr>
        <w:t>z</w:t>
      </w:r>
      <w:r w:rsidR="00DB56D1">
        <w:rPr>
          <w:color w:val="000000" w:themeColor="text1"/>
          <w:sz w:val="20"/>
          <w:szCs w:val="20"/>
        </w:rPr>
        <w:t>m.</w:t>
      </w:r>
      <w:r w:rsidRPr="002B34F8">
        <w:rPr>
          <w:color w:val="000000" w:themeColor="text1"/>
          <w:sz w:val="20"/>
          <w:szCs w:val="20"/>
        </w:rPr>
        <w:t xml:space="preserve">), zwanej dalej „ustawą” lub „Pzp”. Wartość przedmiotowego zamówienia nie przekracza progów unijnych. </w:t>
      </w:r>
    </w:p>
    <w:p w14:paraId="177133B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CD9F794" w14:textId="0CCBF599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Zamówienie sektorowe, którego wartość nie przekracza progów unijnych, nie podlega ustawie </w:t>
      </w:r>
      <w:r w:rsidR="00DB56D1">
        <w:rPr>
          <w:color w:val="000000" w:themeColor="text1"/>
          <w:sz w:val="20"/>
          <w:szCs w:val="20"/>
        </w:rPr>
        <w:t xml:space="preserve">                    </w:t>
      </w:r>
      <w:r w:rsidRPr="002B34F8">
        <w:rPr>
          <w:color w:val="000000" w:themeColor="text1"/>
          <w:sz w:val="20"/>
          <w:szCs w:val="20"/>
        </w:rPr>
        <w:t xml:space="preserve">na podstawie art. 2 ust. 1 pkt 2 ustawy </w:t>
      </w:r>
      <w:r w:rsidR="00DB56D1">
        <w:rPr>
          <w:color w:val="000000" w:themeColor="text1"/>
          <w:sz w:val="20"/>
          <w:szCs w:val="20"/>
        </w:rPr>
        <w:t>P</w:t>
      </w:r>
      <w:r w:rsidRPr="002B34F8">
        <w:rPr>
          <w:color w:val="000000" w:themeColor="text1"/>
          <w:sz w:val="20"/>
          <w:szCs w:val="20"/>
        </w:rPr>
        <w:t xml:space="preserve">zp. </w:t>
      </w:r>
    </w:p>
    <w:p w14:paraId="00FBCB86" w14:textId="77777777" w:rsidR="00656CC6" w:rsidRPr="002B34F8" w:rsidRDefault="00656CC6" w:rsidP="00656CC6">
      <w:pPr>
        <w:pStyle w:val="Akapitzlist"/>
        <w:ind w:left="709"/>
        <w:jc w:val="both"/>
        <w:rPr>
          <w:color w:val="000000" w:themeColor="text1"/>
          <w:sz w:val="20"/>
          <w:szCs w:val="20"/>
        </w:rPr>
      </w:pPr>
    </w:p>
    <w:p w14:paraId="56BB96BD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Postępowanie prowadzone jest wyłącznie na zasadach określonych w niniejszej Specyfikacji Warunków Zamówienia.</w:t>
      </w:r>
    </w:p>
    <w:p w14:paraId="7592C04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9E84801" w14:textId="280467D3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Ilekroć w niniejszej </w:t>
      </w:r>
      <w:r w:rsidR="007B27DC">
        <w:rPr>
          <w:color w:val="000000" w:themeColor="text1"/>
          <w:sz w:val="20"/>
          <w:szCs w:val="20"/>
        </w:rPr>
        <w:t>S</w:t>
      </w:r>
      <w:r w:rsidRPr="002B34F8">
        <w:rPr>
          <w:color w:val="000000" w:themeColor="text1"/>
          <w:sz w:val="20"/>
          <w:szCs w:val="20"/>
        </w:rPr>
        <w:t xml:space="preserve">pecyfikacji </w:t>
      </w:r>
      <w:r w:rsidR="007B27DC">
        <w:rPr>
          <w:color w:val="000000" w:themeColor="text1"/>
          <w:sz w:val="20"/>
          <w:szCs w:val="20"/>
        </w:rPr>
        <w:t>W</w:t>
      </w:r>
      <w:r w:rsidRPr="002B34F8">
        <w:rPr>
          <w:color w:val="000000" w:themeColor="text1"/>
          <w:sz w:val="20"/>
          <w:szCs w:val="20"/>
        </w:rPr>
        <w:t xml:space="preserve">arunków </w:t>
      </w:r>
      <w:r w:rsidR="007B27DC">
        <w:rPr>
          <w:color w:val="000000" w:themeColor="text1"/>
          <w:sz w:val="20"/>
          <w:szCs w:val="20"/>
        </w:rPr>
        <w:t>Z</w:t>
      </w:r>
      <w:r w:rsidRPr="002B34F8">
        <w:rPr>
          <w:color w:val="000000" w:themeColor="text1"/>
          <w:sz w:val="20"/>
          <w:szCs w:val="20"/>
        </w:rPr>
        <w:t xml:space="preserve">amówienia użyte jest pojęcie „specyfikacja” lub „SWZ”, należy przez to rozumieć niniejszą specyfikację warunków zamówienia. </w:t>
      </w:r>
    </w:p>
    <w:p w14:paraId="7F1F15E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698C41E" w14:textId="363638C3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może najpierw dokonać oceny ofert, a następnie zbadać, czy wykonawca, którego oferta została oceniona jako najkorzystniejsza, nie podlega wykluczeniu oraz spełnia warunki udziału </w:t>
      </w:r>
      <w:r w:rsidR="00DB56D1">
        <w:rPr>
          <w:color w:val="000000" w:themeColor="text1"/>
          <w:sz w:val="20"/>
          <w:szCs w:val="20"/>
        </w:rPr>
        <w:t xml:space="preserve">                      </w:t>
      </w:r>
      <w:r w:rsidRPr="002B34F8">
        <w:rPr>
          <w:color w:val="000000" w:themeColor="text1"/>
          <w:sz w:val="20"/>
          <w:szCs w:val="20"/>
        </w:rPr>
        <w:t xml:space="preserve">w postępowaniu. </w:t>
      </w:r>
    </w:p>
    <w:p w14:paraId="0DA8948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756F2E3" w14:textId="195E575E" w:rsidR="00656CC6" w:rsidRPr="00880A9C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udostępni SWZ </w:t>
      </w:r>
      <w:r>
        <w:rPr>
          <w:color w:val="000000" w:themeColor="text1"/>
          <w:sz w:val="20"/>
          <w:szCs w:val="20"/>
        </w:rPr>
        <w:t xml:space="preserve">wraz ze wszystkimi załącznikami </w:t>
      </w:r>
      <w:r w:rsidRPr="002B34F8">
        <w:rPr>
          <w:color w:val="000000" w:themeColor="text1"/>
          <w:sz w:val="20"/>
          <w:szCs w:val="20"/>
        </w:rPr>
        <w:t>na własnej stronie internetowej</w:t>
      </w:r>
      <w:r>
        <w:rPr>
          <w:color w:val="000000" w:themeColor="text1"/>
          <w:sz w:val="20"/>
          <w:szCs w:val="20"/>
        </w:rPr>
        <w:t xml:space="preserve"> </w:t>
      </w:r>
      <w:hyperlink r:id="rId8" w:history="1">
        <w:r w:rsidRPr="00C22F31">
          <w:rPr>
            <w:rStyle w:val="Hipercze"/>
            <w:sz w:val="20"/>
            <w:szCs w:val="20"/>
          </w:rPr>
          <w:t>www.gzkbrzeznica.pl</w:t>
        </w:r>
      </w:hyperlink>
      <w:r w:rsidRPr="00C22F31">
        <w:rPr>
          <w:color w:val="000000" w:themeColor="text1"/>
          <w:sz w:val="20"/>
          <w:szCs w:val="20"/>
        </w:rPr>
        <w:t>,  w zakładce zamówienia publiczne, podsekcja 202</w:t>
      </w:r>
      <w:r w:rsidR="00DB56D1">
        <w:rPr>
          <w:color w:val="000000" w:themeColor="text1"/>
          <w:sz w:val="20"/>
          <w:szCs w:val="20"/>
        </w:rPr>
        <w:t>2</w:t>
      </w:r>
      <w:r w:rsidRPr="00C22F31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</w:p>
    <w:p w14:paraId="7DB09AE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B333860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Postępowanie prowadzone jest w języku polskim. Zamawiający nie wyraża zgody na składanie oferty, oświadczeń i innych dokumentów ani na korespondencję w innych językach, jeżeli nie towarzyszy im tłumaczenie na język polski. </w:t>
      </w:r>
    </w:p>
    <w:p w14:paraId="7706BE5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8C23A52" w14:textId="77777777" w:rsidR="00656CC6" w:rsidRPr="004257E1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 ponosi wszelkie koszty związane z przygotowaniem i przedłożeniem swojej oferty niezależnie od wyniku postępowania. </w:t>
      </w:r>
    </w:p>
    <w:p w14:paraId="2E4446B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C5995AD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dopuszcza składania ofert częściowych.</w:t>
      </w:r>
    </w:p>
    <w:p w14:paraId="63CFD45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7127DFA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dopuszcza składania ofert wariantowych.</w:t>
      </w:r>
    </w:p>
    <w:p w14:paraId="5B77AE4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9656DBA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przewiduje aukcji elektronicznej.</w:t>
      </w:r>
    </w:p>
    <w:p w14:paraId="632F382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58B4515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nie przewiduje udzielenia zamówień uzupełniających. </w:t>
      </w:r>
    </w:p>
    <w:p w14:paraId="6AE6009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4B138B0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Tryb udzielania zamówienia</w:t>
      </w:r>
    </w:p>
    <w:p w14:paraId="6DD8626B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2144A2B3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Postępowanie o udzielenie niniejszego zamówienia prowadzone jest w trybie przetargu nieograniczonego</w:t>
      </w:r>
      <w:r>
        <w:rPr>
          <w:color w:val="000000" w:themeColor="text1"/>
          <w:sz w:val="20"/>
          <w:szCs w:val="20"/>
        </w:rPr>
        <w:t xml:space="preserve"> na podstawie niniejszego SWZ.</w:t>
      </w:r>
    </w:p>
    <w:p w14:paraId="6122825E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03F04C15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34A385BD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5ED541CC" w14:textId="77777777" w:rsidR="00656CC6" w:rsidRPr="00A435D5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lastRenderedPageBreak/>
        <w:t>Przedmiot zamówienia</w:t>
      </w:r>
    </w:p>
    <w:p w14:paraId="364A2A25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563F990B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Przedmiot zamówienia:</w:t>
      </w:r>
    </w:p>
    <w:p w14:paraId="60DF1F66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6AC4752D" w14:textId="049A464F" w:rsidR="00656CC6" w:rsidRPr="002B34F8" w:rsidRDefault="00656CC6" w:rsidP="00656CC6">
      <w:pPr>
        <w:ind w:left="708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Przedmiotem zamówienia jest sukcesywna dostawa fabrycznie nowych materiałów remontowych </w:t>
      </w:r>
      <w:r w:rsidR="00A85626">
        <w:rPr>
          <w:color w:val="000000" w:themeColor="text1"/>
          <w:sz w:val="20"/>
          <w:szCs w:val="20"/>
        </w:rPr>
        <w:t xml:space="preserve">                </w:t>
      </w:r>
      <w:r w:rsidRPr="002B34F8">
        <w:rPr>
          <w:color w:val="000000" w:themeColor="text1"/>
          <w:sz w:val="20"/>
          <w:szCs w:val="20"/>
        </w:rPr>
        <w:t>i eksploatacyjnych sieci wodociągowych i kanalizacyjnych wymienionych w załączniku nr 3 do SWZ</w:t>
      </w:r>
      <w:r>
        <w:rPr>
          <w:color w:val="000000" w:themeColor="text1"/>
          <w:sz w:val="20"/>
          <w:szCs w:val="20"/>
        </w:rPr>
        <w:t xml:space="preserve"> – Wykaz cen.</w:t>
      </w:r>
    </w:p>
    <w:p w14:paraId="0DD0397C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083A0060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Oznaczenia wg kodów CPV:</w:t>
      </w:r>
    </w:p>
    <w:p w14:paraId="342D0A70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44160000-9: Rurociągi, instalacje rurowe, rury, okładziny rurowe, rury i podobne elementy;</w:t>
      </w:r>
    </w:p>
    <w:p w14:paraId="3EF640EE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44167000-8: Różny osprzęt do przewodów;</w:t>
      </w:r>
    </w:p>
    <w:p w14:paraId="0825C6ED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44163000-0: Rury i osprzęt;</w:t>
      </w:r>
    </w:p>
    <w:p w14:paraId="2C4D2B1F" w14:textId="77777777" w:rsidR="00656CC6" w:rsidRPr="002B34F8" w:rsidRDefault="00656CC6" w:rsidP="00656CC6">
      <w:pPr>
        <w:pStyle w:val="Akapitzlist"/>
        <w:ind w:left="1440"/>
        <w:rPr>
          <w:color w:val="000000" w:themeColor="text1"/>
          <w:sz w:val="20"/>
          <w:szCs w:val="20"/>
        </w:rPr>
      </w:pPr>
    </w:p>
    <w:p w14:paraId="277C0082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Szczegółowy opis przedmiotu zamówienia</w:t>
      </w:r>
    </w:p>
    <w:p w14:paraId="5B2C3033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Nawiertki do rur miękkich PVC, PE.</w:t>
      </w:r>
    </w:p>
    <w:p w14:paraId="4941FE7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wykonane z żeliwa sferoidalnego EN-GJS 400-15</w:t>
      </w:r>
    </w:p>
    <w:p w14:paraId="03CC620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Nóż ze stali nierdzewnej </w:t>
      </w:r>
    </w:p>
    <w:p w14:paraId="52D9092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Średnica przyłącza 5/4” lub 2”</w:t>
      </w:r>
    </w:p>
    <w:p w14:paraId="6B41AF0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Średnica nawiercania 38 mm</w:t>
      </w:r>
    </w:p>
    <w:p w14:paraId="51E49BC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Obejma wyłożona gumą EPDM na całej swojej powierzchni </w:t>
      </w:r>
    </w:p>
    <w:p w14:paraId="4A38DB1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Śruby łączące obejmę z korpusem ze stali nierdzewnej  </w:t>
      </w:r>
    </w:p>
    <w:p w14:paraId="0238D06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1074-1, PN-EN 1074-2, </w:t>
      </w:r>
    </w:p>
    <w:p w14:paraId="589ECB5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 Certyfikat GSK RAL</w:t>
      </w:r>
    </w:p>
    <w:p w14:paraId="5EEC9C7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dopuszczalne ciśnienie robocze PN16</w:t>
      </w:r>
    </w:p>
    <w:p w14:paraId="363C088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382007D3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3FD8E8E4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Obudowy do nawiertek i zasuw</w:t>
      </w:r>
    </w:p>
    <w:p w14:paraId="7F6B585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Możliwość skrócenia podczas montażu do powierzchni terenu. Wymagane wymiary (długości całkowite) obudów: </w:t>
      </w:r>
    </w:p>
    <w:p w14:paraId="5429799E" w14:textId="77777777" w:rsidR="00656CC6" w:rsidRPr="002B34F8" w:rsidRDefault="00656CC6" w:rsidP="00656CC6">
      <w:pPr>
        <w:pStyle w:val="Akapitzlist"/>
        <w:numPr>
          <w:ilvl w:val="2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przy pełnym skróceniu: 1,0-1,2 m; </w:t>
      </w:r>
    </w:p>
    <w:p w14:paraId="562B853A" w14:textId="77777777" w:rsidR="00656CC6" w:rsidRPr="002B34F8" w:rsidRDefault="00656CC6" w:rsidP="00656CC6">
      <w:pPr>
        <w:pStyle w:val="Akapitzlist"/>
        <w:numPr>
          <w:ilvl w:val="2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przy pełnym wysunięciu: 1,5-1,7 m</w:t>
      </w:r>
    </w:p>
    <w:p w14:paraId="5EA2F25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Kaptur trzpienia wykonany z żeliwa sferoidalnego EN-GJS 400-15</w:t>
      </w:r>
    </w:p>
    <w:p w14:paraId="2C36C4A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Pręt ocynkowany o profilu kwadratowym o boku min. 18mm </w:t>
      </w:r>
    </w:p>
    <w:p w14:paraId="4C22E92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Sprzęgło z żeliwa sferoidalnego EN-GJS 400-15</w:t>
      </w:r>
    </w:p>
    <w:p w14:paraId="72563BC6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7140223F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Zasuwy gwintowane miękkouszczelniane z prostym przelotem.</w:t>
      </w:r>
      <w:bookmarkStart w:id="0" w:name="_Hlk63065318"/>
    </w:p>
    <w:p w14:paraId="446ECCE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Gwinty wewnętrzne po obu stronach zasuwy,</w:t>
      </w:r>
    </w:p>
    <w:p w14:paraId="69B6FFF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2C87CA2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706419C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Możliwa wymiana o-ringowego uszczelnienia trzpienia pod ciśnieniem,</w:t>
      </w:r>
    </w:p>
    <w:p w14:paraId="4B3EDE8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wg normy PN-EN 14901 Certyfikat GSK RAL</w:t>
      </w:r>
    </w:p>
    <w:p w14:paraId="45EBFA6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bookmarkEnd w:id="0"/>
    <w:p w14:paraId="08F2D41C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6BFE599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Obejma boczna </w:t>
      </w:r>
    </w:p>
    <w:p w14:paraId="6AD81DF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 wykonany z żeliwa sferoidalnego EN-GJS 400-15</w:t>
      </w:r>
    </w:p>
    <w:p w14:paraId="0002381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Obejma do rur PE I PVC</w:t>
      </w:r>
    </w:p>
    <w:p w14:paraId="702F90F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obejmy, bez gniazda w miejscu zamknięcia,</w:t>
      </w:r>
    </w:p>
    <w:p w14:paraId="6BD94B2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Minimum 4-śrubowa,</w:t>
      </w:r>
    </w:p>
    <w:p w14:paraId="0A25869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obejmę dolną ze stali nierdzewnej wkręcane w korpus obejmy,</w:t>
      </w:r>
    </w:p>
    <w:p w14:paraId="5CA8295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Zgodność wyrobu z PN-EN 1074-1, PN-EN 1074-2</w:t>
      </w:r>
    </w:p>
    <w:p w14:paraId="3A46BF1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Ochrona antykorozyjna powłoką na bazie żywicy epoksydowej, minimum 250 wg normy PN-EN 14901 Certyfikat GSK RAL</w:t>
      </w:r>
    </w:p>
    <w:p w14:paraId="471D3F40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810640C" w14:textId="77777777" w:rsidR="00656CC6" w:rsidRPr="006F51C6" w:rsidRDefault="00656CC6" w:rsidP="00656CC6">
      <w:pPr>
        <w:pStyle w:val="Akapitzlist"/>
        <w:spacing w:after="160" w:line="259" w:lineRule="auto"/>
        <w:ind w:left="1788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7DB0C7B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Nawiertki NWZ – zestawy przyłączeniowe do rur miękkich PE, PVC </w:t>
      </w:r>
    </w:p>
    <w:p w14:paraId="697AA8A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21A4933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41B1681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Klin wulkanizowany na całej powierzchni,</w:t>
      </w:r>
    </w:p>
    <w:p w14:paraId="4DF25D5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z walcowanym gwintem</w:t>
      </w:r>
    </w:p>
    <w:p w14:paraId="65F4CF6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Możliwa wymiana o-ringowego uszczelnienia trzpienia pod ciśnieniem, </w:t>
      </w:r>
    </w:p>
    <w:p w14:paraId="7BC50CE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Obejma wykonana z żeliwa sferoidalnego EN-GJS 400-15 </w:t>
      </w:r>
    </w:p>
    <w:p w14:paraId="518D41D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Obejma w całości wyłożona gumą EPDM,</w:t>
      </w:r>
    </w:p>
    <w:p w14:paraId="33232D2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pokrywę z korpusem ze stali nierdzewnej, wpuszczone i zalane masą,</w:t>
      </w:r>
    </w:p>
    <w:p w14:paraId="6788AB9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 Certyfikat GSK RAL</w:t>
      </w:r>
    </w:p>
    <w:p w14:paraId="012B284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Zgodność wyrobu z PN-EN 1074-1, PN-EN 1074-2</w:t>
      </w:r>
    </w:p>
    <w:p w14:paraId="6FB4172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6AE8652B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707E04B3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Zasuwy gwintowane miekkouszczelniane GW/GZ</w:t>
      </w:r>
    </w:p>
    <w:p w14:paraId="2D873E6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Gwint wewnętrzny po jednej stronie zasuwy,</w:t>
      </w:r>
    </w:p>
    <w:p w14:paraId="3871437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6C3519F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C3229B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3B773D9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Możliwa wymiana o-ringowego uszczelnienia trzpienia pod ciśnieniem,</w:t>
      </w:r>
    </w:p>
    <w:p w14:paraId="68831AE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wg normy PN-EN 14901 Certyfikat GSK RAL</w:t>
      </w:r>
    </w:p>
    <w:p w14:paraId="08AC0795" w14:textId="77777777" w:rsidR="00656CC6" w:rsidRPr="002B34F8" w:rsidRDefault="00656CC6" w:rsidP="00656CC6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AAB95AD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Zasuwy kołnierzowe z żeliwa sferoidalnego</w:t>
      </w:r>
    </w:p>
    <w:p w14:paraId="3399F0A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33B30D1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770A08F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Klin wulkanizowany na całej powierzchni gumą EPDM</w:t>
      </w:r>
    </w:p>
    <w:p w14:paraId="5705DA5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z walcowanym gwintem i scalonym kołnierzem trzpienia</w:t>
      </w:r>
    </w:p>
    <w:p w14:paraId="169739A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Korek uszczelniający wykonany z mosiądzu </w:t>
      </w:r>
    </w:p>
    <w:p w14:paraId="428C0FB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pokrywę z korpusem ocynkowane, wpuszczone i zalane masą,</w:t>
      </w:r>
    </w:p>
    <w:p w14:paraId="1243BAF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14901, Certyfikat GSK RAL</w:t>
      </w:r>
    </w:p>
    <w:p w14:paraId="4B688D9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1074-1, PN-EN 1074-2, PN-EN 1171 </w:t>
      </w:r>
    </w:p>
    <w:p w14:paraId="050DB1D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Połączenia kołnierzowe i przyłącz wg. PN-EN 1092-2 (DIN 2501), ciśnienie PN10, PN16 </w:t>
      </w:r>
    </w:p>
    <w:p w14:paraId="796CCEA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5E411AC2" w14:textId="77777777" w:rsidR="00656CC6" w:rsidRPr="002B34F8" w:rsidRDefault="00656CC6" w:rsidP="00656CC6">
      <w:pPr>
        <w:pStyle w:val="Akapitzlist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2AC7DF0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Kształtki żeliwne wodociągowe (trójniki, redukcje, zwężki, króćce itp.)</w:t>
      </w:r>
    </w:p>
    <w:p w14:paraId="2E68248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Wykonane z żeliwa sferoidalnego EN-GJS 500-7</w:t>
      </w:r>
    </w:p>
    <w:p w14:paraId="6C4DF55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Ochrona antykorozyjna powłoką na bazie żywicy epoksydowej, wg normy PN-EN 14901 </w:t>
      </w:r>
    </w:p>
    <w:p w14:paraId="05C9A7C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Połączenia kołnierzowe i przyłącz wg. PN-EN 1092-2 (DIN 2501), </w:t>
      </w:r>
    </w:p>
    <w:p w14:paraId="243563E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 </w:t>
      </w:r>
    </w:p>
    <w:p w14:paraId="2F46E8D1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Atest higieniczny PZH do wody pitnej  </w:t>
      </w:r>
    </w:p>
    <w:p w14:paraId="4E5E677A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16B48D16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nadziemny DN80 z żeliwa sferoidalnego</w:t>
      </w:r>
    </w:p>
    <w:p w14:paraId="27954FB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Rd = 1500, </w:t>
      </w:r>
    </w:p>
    <w:p w14:paraId="261F3D2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177AB53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598634C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Połączenia kołnierzowe i przyłącz wg. PN-EN 1092-2,</w:t>
      </w:r>
    </w:p>
    <w:p w14:paraId="0CA47D0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1D5E611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8BFBBD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7E963D6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64BECD3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06D3C2B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04E203D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6DB9C6F0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0B11C6BF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Hydrant nadziemny DN80 z żeliwa sferoidalnego zabezpieczony przed złamaniem (pojedyncze zamknięcie) </w:t>
      </w:r>
    </w:p>
    <w:p w14:paraId="4402540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Rd = 1500,</w:t>
      </w:r>
    </w:p>
    <w:p w14:paraId="285F0ED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zabezpieczenie w przypadku złamania </w:t>
      </w:r>
    </w:p>
    <w:p w14:paraId="61C9876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0B5C5BD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713B8C9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Połączenia kołnierzowe i przyłącz wg. PN-EN 1092-2,</w:t>
      </w:r>
    </w:p>
    <w:p w14:paraId="148D35A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0850158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03565E9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2377A77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405F52B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23F45CC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7098A15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2A71D53B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C0DF772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nadziemny DN80 z podwójnym zamknięciem wykonany z żeliwa sferoidalnego</w:t>
      </w:r>
    </w:p>
    <w:p w14:paraId="6EDAC76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Rd = 1500,</w:t>
      </w:r>
    </w:p>
    <w:p w14:paraId="5A207EF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2BB41E7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3801159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Połączenia kołnierzowe i przyłącz wg. PN-EN 1092-2,</w:t>
      </w:r>
    </w:p>
    <w:p w14:paraId="1CA7213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52B149F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76704C0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4D2239B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350D9EF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6698300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7776CB7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walcowany</w:t>
      </w:r>
    </w:p>
    <w:p w14:paraId="23686F0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2D581B68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282028F8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podziemny DN80 RD1250</w:t>
      </w:r>
    </w:p>
    <w:p w14:paraId="74D070C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Rd = 1250,</w:t>
      </w:r>
    </w:p>
    <w:p w14:paraId="7B84904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Ciśnienie robocze PN16</w:t>
      </w:r>
    </w:p>
    <w:p w14:paraId="27A1221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nierdzewnej,</w:t>
      </w:r>
    </w:p>
    <w:p w14:paraId="6BA645F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Kolumna hydrantu z żeliwa sferoidalnego DN80</w:t>
      </w:r>
    </w:p>
    <w:p w14:paraId="64D60A1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024ED32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mikronów,</w:t>
      </w:r>
    </w:p>
    <w:p w14:paraId="25083A9E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40FAAF5D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C265581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Rury PE wodociągowe</w:t>
      </w:r>
    </w:p>
    <w:p w14:paraId="15AB241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Rury do wody produkowane z PE typu 100-RC o podwyższonej odporności na propagacje pęknięć oraz odpornego na korozję naprężeniową,</w:t>
      </w:r>
    </w:p>
    <w:p w14:paraId="61941AF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Posiadają atest higieniczny PZH dopuszczający rury do kontaktu z wodą pitną,</w:t>
      </w:r>
    </w:p>
    <w:p w14:paraId="09DB275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Rury wykonane w technologii litej (dla średnic DN32-DN75) oraz dwuwarstwowej (dla średnic od DN90 wzwyż)</w:t>
      </w:r>
    </w:p>
    <w:p w14:paraId="3780CB29" w14:textId="77777777" w:rsidR="00656CC6" w:rsidRPr="006F51C6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2FEB138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Kształtki PE wodociągowe (łuki, trojaki itp.)</w:t>
      </w:r>
    </w:p>
    <w:p w14:paraId="5FE19C9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 PE100-RC</w:t>
      </w:r>
    </w:p>
    <w:p w14:paraId="6D403DB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ciśnienia robocze PN10 oraz PN16</w:t>
      </w:r>
    </w:p>
    <w:p w14:paraId="548D7E6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pitną,</w:t>
      </w:r>
    </w:p>
    <w:p w14:paraId="53375AA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Każda kształtka do zgrzewania elektrooporowego powinna posiadać naklejony kod kreskowy umożliwiający jego odczyt przez urządzenie zgrzewające oraz opis kształtki i parametrów zgrzewania </w:t>
      </w:r>
    </w:p>
    <w:p w14:paraId="0D9CE68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Dla kształtek elektrooporowych wewnętrzna powierzchnia kształtki w miejscu uzwojenia powinna być gładka</w:t>
      </w:r>
    </w:p>
    <w:p w14:paraId="57455FB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każda kształtka elektrooporowa musi być zabezpieczona fabrycznym opakowaniem foliowym</w:t>
      </w:r>
    </w:p>
    <w:p w14:paraId="1B7543E0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Kształtki doczołowe powinny być wykonane w technologii wtryskowej.</w:t>
      </w:r>
    </w:p>
    <w:p w14:paraId="7CB9A6C9" w14:textId="77777777" w:rsidR="00656CC6" w:rsidRPr="006F51C6" w:rsidRDefault="00656CC6" w:rsidP="00656CC6">
      <w:pPr>
        <w:pStyle w:val="Akapitzlist"/>
        <w:spacing w:after="160" w:line="259" w:lineRule="auto"/>
        <w:ind w:left="1788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94078FB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Termin, miejsce oraz warunki wykonania zamówienia</w:t>
      </w:r>
    </w:p>
    <w:p w14:paraId="396E4113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55C35489" w14:textId="63A5A9EE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wymaga, aby zamówienie zostało wykonane w okresie </w:t>
      </w:r>
      <w:r w:rsidR="00F048B3">
        <w:rPr>
          <w:color w:val="000000" w:themeColor="text1"/>
          <w:sz w:val="20"/>
          <w:szCs w:val="20"/>
        </w:rPr>
        <w:t>12</w:t>
      </w:r>
      <w:r w:rsidRPr="002B34F8">
        <w:rPr>
          <w:color w:val="000000" w:themeColor="text1"/>
          <w:sz w:val="20"/>
          <w:szCs w:val="20"/>
        </w:rPr>
        <w:t xml:space="preserve"> miesięcy.  </w:t>
      </w:r>
    </w:p>
    <w:p w14:paraId="418EF56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2469E80F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zastrzega możliwość wydłużenia zawartej umowy o </w:t>
      </w:r>
      <w:r>
        <w:rPr>
          <w:color w:val="000000" w:themeColor="text1"/>
          <w:sz w:val="20"/>
          <w:szCs w:val="20"/>
        </w:rPr>
        <w:t>dodatkowy</w:t>
      </w:r>
      <w:r w:rsidRPr="002B34F8">
        <w:rPr>
          <w:color w:val="000000" w:themeColor="text1"/>
          <w:sz w:val="20"/>
          <w:szCs w:val="20"/>
        </w:rPr>
        <w:t xml:space="preserve"> okres, nie dłuższy jednak niż 6 miesięcy. Przedłużenie zawartej pierwotnie umowy może być dokonane tylko raz na podstawie wspólnych oświadczeń Zamawiającego i Wykonawcy w formie pisemnego aneksu. W przypadku jego przyjęcia, Strony </w:t>
      </w:r>
      <w:r>
        <w:rPr>
          <w:color w:val="000000" w:themeColor="text1"/>
          <w:sz w:val="20"/>
          <w:szCs w:val="20"/>
        </w:rPr>
        <w:t>zobowiązane</w:t>
      </w:r>
      <w:r w:rsidRPr="002B34F8">
        <w:rPr>
          <w:color w:val="000000" w:themeColor="text1"/>
          <w:sz w:val="20"/>
          <w:szCs w:val="20"/>
        </w:rPr>
        <w:t xml:space="preserve"> będą </w:t>
      </w:r>
      <w:r>
        <w:rPr>
          <w:color w:val="000000" w:themeColor="text1"/>
          <w:sz w:val="20"/>
          <w:szCs w:val="20"/>
        </w:rPr>
        <w:t>przestrzegać wszelkich</w:t>
      </w:r>
      <w:r w:rsidRPr="002B34F8">
        <w:rPr>
          <w:color w:val="000000" w:themeColor="text1"/>
          <w:sz w:val="20"/>
          <w:szCs w:val="20"/>
        </w:rPr>
        <w:t xml:space="preserve"> postanowie</w:t>
      </w:r>
      <w:r>
        <w:rPr>
          <w:color w:val="000000" w:themeColor="text1"/>
          <w:sz w:val="20"/>
          <w:szCs w:val="20"/>
        </w:rPr>
        <w:t>ń</w:t>
      </w:r>
      <w:r w:rsidRPr="002B34F8">
        <w:rPr>
          <w:color w:val="000000" w:themeColor="text1"/>
          <w:sz w:val="20"/>
          <w:szCs w:val="20"/>
        </w:rPr>
        <w:t xml:space="preserve"> pierwotnie zawartej umowy, bez możliwości negocjacji cen jednostkowych </w:t>
      </w:r>
      <w:r>
        <w:rPr>
          <w:color w:val="000000" w:themeColor="text1"/>
          <w:sz w:val="20"/>
          <w:szCs w:val="20"/>
        </w:rPr>
        <w:t xml:space="preserve">materiałów </w:t>
      </w:r>
      <w:r w:rsidRPr="002B34F8">
        <w:rPr>
          <w:color w:val="000000" w:themeColor="text1"/>
          <w:sz w:val="20"/>
          <w:szCs w:val="20"/>
        </w:rPr>
        <w:t xml:space="preserve">lub jakichkolwiek innych, pozostałych warunków współpracy. </w:t>
      </w:r>
    </w:p>
    <w:p w14:paraId="0DF8474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8D3B26F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Miejscem wykonania zamówienia jest magazyn Zamawiającego zlokalizowany w </w:t>
      </w:r>
      <w:bookmarkStart w:id="1" w:name="_Hlk63849159"/>
      <w:r w:rsidRPr="002B34F8">
        <w:rPr>
          <w:color w:val="000000" w:themeColor="text1"/>
          <w:sz w:val="20"/>
          <w:szCs w:val="20"/>
        </w:rPr>
        <w:t>Gminny Zakład Komunalny Spółka z ograniczoną odpowiedzialnością, Adres: ul. Źródlana 4, 39-207 Brzeźnica</w:t>
      </w:r>
      <w:bookmarkEnd w:id="1"/>
    </w:p>
    <w:p w14:paraId="3C7109E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7963BA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97C9512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Dostawy realizowane będą sukcesywnie w miarę pojawiających się potrzeb, na podstawie oddzielnych zamówień, składanych za pomocą</w:t>
      </w:r>
      <w:r>
        <w:rPr>
          <w:color w:val="000000" w:themeColor="text1"/>
          <w:sz w:val="20"/>
          <w:szCs w:val="20"/>
        </w:rPr>
        <w:t xml:space="preserve"> </w:t>
      </w:r>
      <w:r w:rsidRPr="002B34F8">
        <w:rPr>
          <w:color w:val="000000" w:themeColor="text1"/>
          <w:sz w:val="20"/>
          <w:szCs w:val="20"/>
        </w:rPr>
        <w:t xml:space="preserve">poczty elektronicznej lub </w:t>
      </w:r>
      <w:r>
        <w:rPr>
          <w:color w:val="000000" w:themeColor="text1"/>
          <w:sz w:val="20"/>
          <w:szCs w:val="20"/>
        </w:rPr>
        <w:t xml:space="preserve">z wykorzystaniem </w:t>
      </w:r>
      <w:r w:rsidRPr="002B34F8">
        <w:rPr>
          <w:color w:val="000000" w:themeColor="text1"/>
          <w:sz w:val="20"/>
          <w:szCs w:val="20"/>
        </w:rPr>
        <w:t xml:space="preserve">kontaktu telefonicznego przez upoważnionego pracownika Zamawiającego. </w:t>
      </w:r>
    </w:p>
    <w:p w14:paraId="7B6FADF9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67232E1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Termin każdej dostawy: </w:t>
      </w:r>
    </w:p>
    <w:p w14:paraId="66169A4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C2AA7DD" w14:textId="77777777" w:rsidR="00656CC6" w:rsidRPr="002B34F8" w:rsidRDefault="00656CC6" w:rsidP="00656CC6">
      <w:pPr>
        <w:pStyle w:val="Akapitzlist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 3 dni od daty otrzymania zamówienia przez Wykonawcę;</w:t>
      </w:r>
    </w:p>
    <w:p w14:paraId="5B76709F" w14:textId="77777777" w:rsidR="00656CC6" w:rsidRPr="002B34F8" w:rsidRDefault="00656CC6" w:rsidP="00656CC6">
      <w:pPr>
        <w:pStyle w:val="Akapitzlist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godzinach od 8:00 do 14:30 w dni robocze, tj. od poniedziałku do piątku, za wyjątkiem dni ustawowo i urzędowo wolnych od pracy. </w:t>
      </w:r>
    </w:p>
    <w:p w14:paraId="69CB6B76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3BE676B1" w14:textId="77777777" w:rsidR="00656CC6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 każdej realizowanej dostawy Wykonawca wystawi Zamawiającemu na dzień dostarczenia towaru dokument WZ (lub inny dokument magazynowy przyjęty u Wykonawcy).</w:t>
      </w:r>
    </w:p>
    <w:p w14:paraId="13644290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85A5520" w14:textId="77777777" w:rsidR="00656CC6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Wystawiony przez Wykonawcę dokument magazynowy z pojedynczej dostawy będzie zawierać (oprócz standardowej specyfikacji ilościowej i przedmiotowej) indywidualne oznaczenia produktów na podstawie indeksów (litery i cyfry) ,które to oznaczenia pozostaną stałe i niezmienne przez cały okres realizacji umowy. Ewentualne zmiany indeksów muszą zostać przedstawione Zamawiającemu z 7-dniowym wyprzedzeniem przed ich wprowadzeniem do użytku z Zamawiającym. </w:t>
      </w:r>
    </w:p>
    <w:p w14:paraId="0C8052B1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1F10E45" w14:textId="77777777" w:rsidR="00656CC6" w:rsidRPr="006F51C6" w:rsidRDefault="00656CC6" w:rsidP="00F142AE">
      <w:pPr>
        <w:pStyle w:val="NormalnyWeb"/>
        <w:numPr>
          <w:ilvl w:val="0"/>
          <w:numId w:val="4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080">
        <w:rPr>
          <w:rFonts w:asciiTheme="minorHAnsi" w:hAnsiTheme="minorHAnsi" w:cstheme="minorHAnsi"/>
          <w:color w:val="000000" w:themeColor="text1"/>
          <w:sz w:val="20"/>
          <w:szCs w:val="20"/>
        </w:rPr>
        <w:t>Wykaz i ilość materiałów został podany dla określenia ofertowej ceny przetargowej i nie stanowi katalogu zamkniętego, nie ma charakteru stanowczego – może zostać rozszerzony o inne, jak też niektóre materiały wskazane w wykazie w ogóle nie będą zamawiane z uwagi na niezaistnienie potrzeby zakupu po stronie Zamawiającego.</w:t>
      </w:r>
    </w:p>
    <w:p w14:paraId="07BD28D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ED557CF" w14:textId="77777777" w:rsidR="00656CC6" w:rsidRPr="006F51C6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lastRenderedPageBreak/>
        <w:t>Warunki udziału w postępowaniu oraz dokumenty potwierdzające spełnienie warunków udziału w postępowaniu oraz dokumenty potwierdzające brak podstaw wykluczenia wykonawcy z postępowania oraz opis sposobu dokonywania oceny spełnienia tych warunków</w:t>
      </w:r>
    </w:p>
    <w:p w14:paraId="5996A2DF" w14:textId="77777777" w:rsidR="00656CC6" w:rsidRPr="002B34F8" w:rsidRDefault="00656CC6" w:rsidP="00656CC6">
      <w:pPr>
        <w:ind w:left="1080"/>
        <w:jc w:val="both"/>
        <w:rPr>
          <w:color w:val="000000" w:themeColor="text1"/>
          <w:sz w:val="20"/>
          <w:szCs w:val="20"/>
        </w:rPr>
      </w:pPr>
    </w:p>
    <w:p w14:paraId="02F33CD3" w14:textId="77777777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precyzuje innych niż ustawowe, szczegółowych wymagań w zakresie:</w:t>
      </w:r>
    </w:p>
    <w:p w14:paraId="48712F23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392A2C4E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Posiadania wiedzy i doświadczenia;</w:t>
      </w:r>
    </w:p>
    <w:p w14:paraId="21F28DF8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Dysponowania odpowiednim potencjałem technicznym oraz osobami zdolnymi do wykonania zamówienia;</w:t>
      </w:r>
    </w:p>
    <w:p w14:paraId="713D3091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Sytuacji ekonomicznej i finansowej.</w:t>
      </w:r>
    </w:p>
    <w:p w14:paraId="537D23D5" w14:textId="4E5AC988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celu potwierdzenia, że Wykonawca nie podlega wykluczeniu oraz spełnia warunki udziału </w:t>
      </w:r>
      <w:r w:rsidR="00682144">
        <w:rPr>
          <w:color w:val="000000" w:themeColor="text1"/>
          <w:sz w:val="20"/>
          <w:szCs w:val="20"/>
        </w:rPr>
        <w:t xml:space="preserve">                          </w:t>
      </w:r>
      <w:r w:rsidRPr="002B34F8">
        <w:rPr>
          <w:color w:val="000000" w:themeColor="text1"/>
          <w:sz w:val="20"/>
          <w:szCs w:val="20"/>
        </w:rPr>
        <w:t>w postępowaniu, Wykonawcy zobowiązani są przedłożyć Oświadczenie Wykonawcy</w:t>
      </w:r>
      <w:r>
        <w:rPr>
          <w:color w:val="000000" w:themeColor="text1"/>
          <w:sz w:val="20"/>
          <w:szCs w:val="20"/>
        </w:rPr>
        <w:t xml:space="preserve"> o niepodleganiu </w:t>
      </w:r>
      <w:r w:rsidRPr="002B34F8">
        <w:rPr>
          <w:color w:val="000000" w:themeColor="text1"/>
          <w:sz w:val="20"/>
          <w:szCs w:val="20"/>
        </w:rPr>
        <w:t xml:space="preserve">wykluczeniu z postępowania oraz </w:t>
      </w:r>
      <w:r>
        <w:rPr>
          <w:color w:val="000000" w:themeColor="text1"/>
          <w:sz w:val="20"/>
          <w:szCs w:val="20"/>
        </w:rPr>
        <w:t>spełnieniu</w:t>
      </w:r>
      <w:r w:rsidRPr="002B34F8">
        <w:rPr>
          <w:color w:val="000000" w:themeColor="text1"/>
          <w:sz w:val="20"/>
          <w:szCs w:val="20"/>
        </w:rPr>
        <w:t xml:space="preserve"> warunk</w:t>
      </w:r>
      <w:r>
        <w:rPr>
          <w:color w:val="000000" w:themeColor="text1"/>
          <w:sz w:val="20"/>
          <w:szCs w:val="20"/>
        </w:rPr>
        <w:t>ów</w:t>
      </w:r>
      <w:r w:rsidRPr="002B34F8">
        <w:rPr>
          <w:color w:val="000000" w:themeColor="text1"/>
          <w:sz w:val="20"/>
          <w:szCs w:val="20"/>
        </w:rPr>
        <w:t xml:space="preserve"> udziału w postępowaniu – Załącznik nr 2. </w:t>
      </w:r>
    </w:p>
    <w:p w14:paraId="02D497A5" w14:textId="77777777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Wykonawcy mogą wspólnie ubiegać się o udzielenie zamówienia. Wykonawcy Ci powinni spełnić warunki udziału w postępowaniu i złożyć dokumenty potwierdzające spełnienie tych warunków zgodnie z zapisami zawartymi w punktach VI i VII SWZ. Ponadto ww. Wykonawcy zobowiązani są do ustanowienia Pełnomocnika do reprezentowania ich w postępowaniu o udzielenie zamówienia albo do reprezentowania ich w postępowaniu i zawarcia umowy w sprawie sektorowego zamówienia podprogowego. Pełnomocnictwo powinno:</w:t>
      </w:r>
    </w:p>
    <w:p w14:paraId="30CA52AF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Jednoznacznie określać postępowanie, do którego się odnosi i precyzować zakres umocowania;</w:t>
      </w:r>
    </w:p>
    <w:p w14:paraId="5CD2D0D4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Wymieniać wszystkich Wykonawców, którzy wspólnie ubiegają się o udzielenie zamówienia;</w:t>
      </w:r>
    </w:p>
    <w:p w14:paraId="1EA229E9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Każdy z tych Wykonawców musi podpisać się na dokumencie pełnomocnictwa, zgodnie ze sposobem reprezentacji. </w:t>
      </w:r>
    </w:p>
    <w:p w14:paraId="4E2EA1C4" w14:textId="77777777" w:rsidR="00656CC6" w:rsidRPr="002B34F8" w:rsidRDefault="00656CC6" w:rsidP="00656CC6">
      <w:pPr>
        <w:ind w:left="108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Wszelka korespondencja prowadzona będzie wyłącznie z Pełnomocnikiem</w:t>
      </w:r>
    </w:p>
    <w:p w14:paraId="6E00B909" w14:textId="0BF23E27" w:rsidR="00656CC6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dokona oceny spełniania warunków udziału w postępowaniu i braku podstaw do wykluczenia z postępowania na podstawie złożonych oświadczeń i dokumentów opisanych w pkt VII SWZ, według formuły „spełnia/nie spełnia”.</w:t>
      </w:r>
    </w:p>
    <w:p w14:paraId="6747062D" w14:textId="176BF9BB" w:rsidR="00682144" w:rsidRDefault="00682144" w:rsidP="00682144">
      <w:pPr>
        <w:ind w:left="360"/>
        <w:jc w:val="both"/>
        <w:rPr>
          <w:color w:val="000000" w:themeColor="text1"/>
          <w:sz w:val="20"/>
          <w:szCs w:val="20"/>
        </w:rPr>
      </w:pPr>
    </w:p>
    <w:p w14:paraId="245831B5" w14:textId="77777777" w:rsidR="00682144" w:rsidRPr="00682144" w:rsidRDefault="00682144" w:rsidP="00682144">
      <w:pPr>
        <w:ind w:left="360"/>
        <w:jc w:val="both"/>
        <w:rPr>
          <w:color w:val="000000" w:themeColor="text1"/>
          <w:sz w:val="20"/>
          <w:szCs w:val="20"/>
        </w:rPr>
      </w:pPr>
    </w:p>
    <w:p w14:paraId="2CC7907F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Wykaz dokumentów i oświadczeń jakie mają dostarczyć Wykonawcy</w:t>
      </w:r>
    </w:p>
    <w:p w14:paraId="7EFF264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D6CA9AB" w14:textId="77777777" w:rsidR="00656CC6" w:rsidRPr="002B34F8" w:rsidRDefault="00656CC6" w:rsidP="00656CC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celu potwierdzenia spełnienia warunków udziału i braku podstaw do wykluczenia z postepowania określonych w niniejszej SWZ, należy przedłożyć:</w:t>
      </w:r>
    </w:p>
    <w:p w14:paraId="6CB5D55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6C76598" w14:textId="77777777" w:rsidR="00656CC6" w:rsidRPr="002B34F8" w:rsidRDefault="00656CC6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oświadczenie o spełnieniu warunków udziału w postępowaniu oraz o niepodleganiu wykluczeniu z udziału w postępowaniu – wg załącznika nr 2 do SWZ [</w:t>
      </w:r>
      <w:r w:rsidRPr="002B34F8">
        <w:rPr>
          <w:i/>
          <w:iCs/>
          <w:color w:val="000000" w:themeColor="text1"/>
          <w:sz w:val="20"/>
          <w:szCs w:val="20"/>
        </w:rPr>
        <w:t>w przypadku składania oferty przez Wykonawców wspólnie ubiegających się o udzielenie zamówienia oświadczenie składa każdy z Wykonawców oddzielnie</w:t>
      </w:r>
      <w:r w:rsidRPr="002B34F8">
        <w:rPr>
          <w:color w:val="000000" w:themeColor="text1"/>
          <w:sz w:val="20"/>
          <w:szCs w:val="20"/>
        </w:rPr>
        <w:t>]</w:t>
      </w:r>
    </w:p>
    <w:p w14:paraId="7A91482A" w14:textId="1AC5B582" w:rsidR="00656CC6" w:rsidRPr="002B34F8" w:rsidRDefault="00682144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</w:t>
      </w:r>
      <w:r w:rsidR="00656CC6" w:rsidRPr="002B34F8">
        <w:rPr>
          <w:color w:val="000000" w:themeColor="text1"/>
          <w:sz w:val="20"/>
          <w:szCs w:val="20"/>
        </w:rPr>
        <w:t>świadczenie wykonawcy o niezaleganiu z uiszczaniem podatków, opłat lub składek na ubezpieczenie społeczne lub zdrowotne</w:t>
      </w:r>
      <w:r w:rsidR="00656CC6">
        <w:rPr>
          <w:color w:val="000000" w:themeColor="text1"/>
          <w:sz w:val="20"/>
          <w:szCs w:val="20"/>
        </w:rPr>
        <w:t xml:space="preserve"> – wg załącznika nr 5 do SWZ</w:t>
      </w:r>
    </w:p>
    <w:p w14:paraId="328A6C31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0365743D" w14:textId="77777777" w:rsidR="00656CC6" w:rsidRPr="002B34F8" w:rsidRDefault="00656CC6" w:rsidP="00656CC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zakresie potwierdzenia, że oferowane dostawy odpowiadają wymaganiom przedmiotu zamówienia określonym przez Zamawiającego, należy przedłożyć:</w:t>
      </w:r>
    </w:p>
    <w:p w14:paraId="6628F2D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BFA1D04" w14:textId="77777777" w:rsidR="00656CC6" w:rsidRPr="006F51C6" w:rsidRDefault="00656CC6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Karty katalogowe oferowanych produktów lub inne dokumenty potwierdzające spełnienie wymaganych przez Zamawiającego parametrów </w:t>
      </w:r>
    </w:p>
    <w:p w14:paraId="553811A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309D60F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Termin związania ofertą</w:t>
      </w:r>
    </w:p>
    <w:p w14:paraId="0B65E59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F260ADA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Wykonawcy będą związani złożoną ofertą przez okres 30 dni. Bieg terminu związania ofertą rozpoczyna się wraz z upływem terminu wyznaczonego na składanie ofert. </w:t>
      </w:r>
    </w:p>
    <w:p w14:paraId="517B391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F4A16C5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Opis sposobu przygotowywania oferty</w:t>
      </w:r>
    </w:p>
    <w:p w14:paraId="5858879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75687CB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Każdy Wykonawca może złożyć tylko jedną ofertę.</w:t>
      </w:r>
    </w:p>
    <w:p w14:paraId="2DA44BB7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2F98493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Ofertę należy przygotować ściśle według wymagań określonych w niniejszej SWZ.</w:t>
      </w:r>
    </w:p>
    <w:p w14:paraId="095FADC2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699A15A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Ofertę należy złożyć w formie papierowej, pod rygorem nieważności. </w:t>
      </w:r>
    </w:p>
    <w:p w14:paraId="3ECFC42D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A5BAF4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Oferta musi być podpisana przez osoby upoważnione do reprezentowania Wykonawcy (Wykonawców wspólnie ubiegających się o udzielenie zamówienia), zgodnie ze statusem prawnym Wykonawcy(ów).</w:t>
      </w:r>
    </w:p>
    <w:p w14:paraId="4801FCDB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F4E2BB6" w14:textId="253FA31F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Wzory dokumentów dołączonych do niniejszej SWZ powinny zostać wypełnione przez Wykonawcę </w:t>
      </w:r>
      <w:r w:rsidR="00682144">
        <w:rPr>
          <w:color w:val="000000" w:themeColor="text1"/>
          <w:sz w:val="20"/>
          <w:szCs w:val="20"/>
        </w:rPr>
        <w:t xml:space="preserve">             </w:t>
      </w:r>
      <w:r w:rsidRPr="002B34F8">
        <w:rPr>
          <w:color w:val="000000" w:themeColor="text1"/>
          <w:sz w:val="20"/>
          <w:szCs w:val="20"/>
        </w:rPr>
        <w:t xml:space="preserve">i dołączone do oferty bądź też przygotowane przez Wykonawcę w zgodnej z niniejszą SWZ formie. </w:t>
      </w:r>
    </w:p>
    <w:p w14:paraId="44EFA9E7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955D304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 ponosi wszelkie koszty związane z przygotowaniem i złożeniem oferty.</w:t>
      </w:r>
    </w:p>
    <w:p w14:paraId="2C8D20F6" w14:textId="77777777" w:rsidR="00656CC6" w:rsidRPr="00BB6CF5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3D365569" w14:textId="363545EC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Zamawiający bezwzględnie wymaga wypełnienia wszystkich pól formularza oferty (zał. Nr 1) i wykazu cen (</w:t>
      </w:r>
      <w:r w:rsidR="006C1A0F">
        <w:rPr>
          <w:color w:val="000000" w:themeColor="text1"/>
          <w:sz w:val="20"/>
          <w:szCs w:val="20"/>
        </w:rPr>
        <w:t>z</w:t>
      </w:r>
      <w:r>
        <w:rPr>
          <w:color w:val="000000" w:themeColor="text1"/>
          <w:sz w:val="20"/>
          <w:szCs w:val="20"/>
        </w:rPr>
        <w:t>ał. Nr 3)</w:t>
      </w:r>
    </w:p>
    <w:p w14:paraId="68776107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6D2391C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Dokumenty przygotowywane samodzielnie przez Wykonawcę na podstawie wzorów stanowiących załączniki do niniejszej SWZ mają mieć formę wydruku komputerowego lub maszynopisu. </w:t>
      </w:r>
    </w:p>
    <w:p w14:paraId="09E5D2C6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0D3A31C" w14:textId="77777777" w:rsidR="00656CC6" w:rsidRPr="002B34F8" w:rsidRDefault="00656CC6" w:rsidP="00656CC6">
      <w:pPr>
        <w:pStyle w:val="Akapitzlist"/>
        <w:numPr>
          <w:ilvl w:val="0"/>
          <w:numId w:val="7"/>
        </w:numPr>
        <w:jc w:val="both"/>
        <w:rPr>
          <w:i/>
          <w:iCs/>
          <w:color w:val="000000" w:themeColor="text1"/>
          <w:sz w:val="20"/>
          <w:szCs w:val="20"/>
          <w:u w:val="single"/>
        </w:rPr>
      </w:pPr>
      <w:r w:rsidRPr="002B34F8">
        <w:rPr>
          <w:i/>
          <w:iCs/>
          <w:color w:val="000000" w:themeColor="text1"/>
          <w:sz w:val="20"/>
          <w:szCs w:val="20"/>
          <w:u w:val="single"/>
        </w:rPr>
        <w:t>Na ofertę składają się następujące dokumenty:</w:t>
      </w:r>
    </w:p>
    <w:p w14:paraId="6225575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D9398B7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Formularz oferty – wzór stanowi załącznik nr 1 do SWZ;</w:t>
      </w:r>
    </w:p>
    <w:p w14:paraId="3256799A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3A83C99C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Oświadczenia wykonawcy zgodnie z rozdziałem VI SWZ – wzór stanowi załącznik nr 2 do SWZ;</w:t>
      </w:r>
    </w:p>
    <w:p w14:paraId="6CDA3624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A5C066E" w14:textId="77777777" w:rsidR="00656CC6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Wykaz cen - </w:t>
      </w:r>
      <w:r w:rsidRPr="002B34F8">
        <w:rPr>
          <w:color w:val="000000" w:themeColor="text1"/>
          <w:sz w:val="20"/>
          <w:szCs w:val="20"/>
        </w:rPr>
        <w:t>sporządzony zgodnie ze wzorem stanowiącym załącznik nr 3 do SWZ;</w:t>
      </w:r>
    </w:p>
    <w:p w14:paraId="076F6D7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8C787AF" w14:textId="77777777" w:rsidR="00656CC6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Karty katalogowe lub inne dokumenty dla oferowanych materiałów na potwierdzenie wymagań SWZ</w:t>
      </w:r>
    </w:p>
    <w:p w14:paraId="79AD1E69" w14:textId="77777777" w:rsidR="00656CC6" w:rsidRPr="00144E94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1749A2F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Oświadczenie o niezaleganiu w opłacaniu podatków – wg załącznika nr 5 do SWZ.</w:t>
      </w:r>
    </w:p>
    <w:p w14:paraId="714BB03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FB56369" w14:textId="77777777" w:rsidR="00656CC6" w:rsidRPr="00BB6CF5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przypadku gdy Wykonawcę reprezentuje pełnomocnik – oryginał pełnomocnictwa określający jego zakres, podpisany przez osoby uprawnione do reprezentacji Wykonawcy lub odpis notarialny pełnomocnictwa</w:t>
      </w:r>
    </w:p>
    <w:p w14:paraId="6CB3A88E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5641B4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Miejsce oraz termin składania ofert</w:t>
      </w:r>
    </w:p>
    <w:p w14:paraId="5F236271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B8470E6" w14:textId="29F56ACC" w:rsidR="00656CC6" w:rsidRDefault="00656CC6" w:rsidP="00656CC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Termin składania ofert do dnia</w:t>
      </w:r>
      <w:r w:rsidRPr="00D32FFA">
        <w:rPr>
          <w:sz w:val="20"/>
          <w:szCs w:val="20"/>
        </w:rPr>
        <w:t xml:space="preserve">: </w:t>
      </w:r>
      <w:bookmarkStart w:id="2" w:name="_Hlk98936554"/>
      <w:r w:rsidR="00181B60" w:rsidRPr="00D32FFA">
        <w:rPr>
          <w:b/>
          <w:bCs/>
          <w:sz w:val="20"/>
          <w:szCs w:val="20"/>
        </w:rPr>
        <w:t>04 kwietnia</w:t>
      </w:r>
      <w:r w:rsidRPr="00D32FFA">
        <w:rPr>
          <w:b/>
          <w:bCs/>
          <w:sz w:val="20"/>
          <w:szCs w:val="20"/>
        </w:rPr>
        <w:t xml:space="preserve"> 202</w:t>
      </w:r>
      <w:r w:rsidR="00F048B3" w:rsidRPr="00D32FFA">
        <w:rPr>
          <w:b/>
          <w:bCs/>
          <w:sz w:val="20"/>
          <w:szCs w:val="20"/>
        </w:rPr>
        <w:t>2</w:t>
      </w:r>
      <w:r w:rsidRPr="00D32FFA">
        <w:rPr>
          <w:b/>
          <w:bCs/>
          <w:sz w:val="20"/>
          <w:szCs w:val="20"/>
        </w:rPr>
        <w:t xml:space="preserve"> r., do godziny 10</w:t>
      </w:r>
      <w:bookmarkEnd w:id="2"/>
      <w:r w:rsidRPr="00D32FFA">
        <w:rPr>
          <w:b/>
          <w:bCs/>
          <w:sz w:val="20"/>
          <w:szCs w:val="20"/>
        </w:rPr>
        <w:t>:00</w:t>
      </w:r>
      <w:r w:rsidRPr="00D32FFA">
        <w:rPr>
          <w:sz w:val="20"/>
          <w:szCs w:val="20"/>
        </w:rPr>
        <w:t xml:space="preserve"> , w siedzibie </w:t>
      </w:r>
      <w:r>
        <w:rPr>
          <w:color w:val="000000" w:themeColor="text1"/>
          <w:sz w:val="20"/>
          <w:szCs w:val="20"/>
        </w:rPr>
        <w:t xml:space="preserve">Zamawiającego: </w:t>
      </w:r>
      <w:r w:rsidRPr="002B34F8">
        <w:rPr>
          <w:color w:val="000000" w:themeColor="text1"/>
          <w:sz w:val="20"/>
          <w:szCs w:val="20"/>
        </w:rPr>
        <w:t xml:space="preserve">Gminny Zakład Komunalny sp. z o.o., ul. Źródlana 4, 39-207 Brzeźnica, </w:t>
      </w:r>
      <w:r w:rsidR="006C1A0F">
        <w:rPr>
          <w:color w:val="000000" w:themeColor="text1"/>
          <w:sz w:val="20"/>
          <w:szCs w:val="20"/>
        </w:rPr>
        <w:t>Dział Techniczny</w:t>
      </w:r>
      <w:r w:rsidRPr="002B34F8">
        <w:rPr>
          <w:color w:val="000000" w:themeColor="text1"/>
          <w:sz w:val="20"/>
          <w:szCs w:val="20"/>
        </w:rPr>
        <w:t xml:space="preserve">. </w:t>
      </w:r>
    </w:p>
    <w:p w14:paraId="52EC1E5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753DF85" w14:textId="74CBCFD6" w:rsidR="00656CC6" w:rsidRPr="00D32FFA" w:rsidRDefault="00656CC6" w:rsidP="00656CC6">
      <w:pPr>
        <w:pStyle w:val="Akapitzlist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Oferta powinna być złożona w zaklejonej kopercie zaadresowanej na Zamawiającego z opisem: „Oferta na przetarg pn</w:t>
      </w:r>
      <w:r w:rsidRPr="002B34F8">
        <w:rPr>
          <w:i/>
          <w:iCs/>
          <w:color w:val="000000" w:themeColor="text1"/>
          <w:sz w:val="20"/>
          <w:szCs w:val="20"/>
        </w:rPr>
        <w:t xml:space="preserve">.: Sukcesywna dostawa materiałów remontowych i eksploatacyjnych sieci wodociągowych i kanalizacyjnych. Nie otwierać przed </w:t>
      </w:r>
      <w:r w:rsidRPr="00D32FFA">
        <w:rPr>
          <w:i/>
          <w:iCs/>
          <w:sz w:val="20"/>
          <w:szCs w:val="20"/>
        </w:rPr>
        <w:t xml:space="preserve">dniem </w:t>
      </w:r>
      <w:r w:rsidR="00181B60" w:rsidRPr="00D32FFA">
        <w:rPr>
          <w:b/>
          <w:bCs/>
          <w:i/>
          <w:iCs/>
          <w:sz w:val="20"/>
          <w:szCs w:val="20"/>
        </w:rPr>
        <w:t>04 kwietnia</w:t>
      </w:r>
      <w:r w:rsidR="00F048B3" w:rsidRPr="00D32FFA">
        <w:rPr>
          <w:b/>
          <w:bCs/>
          <w:i/>
          <w:iCs/>
          <w:sz w:val="20"/>
          <w:szCs w:val="20"/>
        </w:rPr>
        <w:t xml:space="preserve"> 2022 r., do godziny 10</w:t>
      </w:r>
      <w:r w:rsidRPr="00D32FFA">
        <w:rPr>
          <w:b/>
          <w:bCs/>
          <w:i/>
          <w:iCs/>
          <w:sz w:val="20"/>
          <w:szCs w:val="20"/>
        </w:rPr>
        <w:t>:15</w:t>
      </w:r>
    </w:p>
    <w:p w14:paraId="77B2BFD7" w14:textId="77777777" w:rsidR="00656CC6" w:rsidRPr="00D32FFA" w:rsidRDefault="00656CC6" w:rsidP="00656CC6">
      <w:pPr>
        <w:jc w:val="both"/>
        <w:rPr>
          <w:sz w:val="20"/>
          <w:szCs w:val="20"/>
        </w:rPr>
      </w:pPr>
    </w:p>
    <w:p w14:paraId="1F7682BC" w14:textId="0F54A1C4" w:rsidR="00656CC6" w:rsidRPr="00D32FFA" w:rsidRDefault="00656CC6" w:rsidP="00656CC6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D32FFA">
        <w:rPr>
          <w:sz w:val="20"/>
          <w:szCs w:val="20"/>
        </w:rPr>
        <w:t xml:space="preserve">Miejsce publicznego otwarcia ofert: </w:t>
      </w:r>
      <w:r w:rsidR="00181B60" w:rsidRPr="00D32FFA">
        <w:rPr>
          <w:b/>
          <w:bCs/>
          <w:i/>
          <w:iCs/>
          <w:sz w:val="20"/>
          <w:szCs w:val="20"/>
        </w:rPr>
        <w:t>04 kwietnia</w:t>
      </w:r>
      <w:r w:rsidR="00F048B3" w:rsidRPr="00D32FFA">
        <w:rPr>
          <w:b/>
          <w:bCs/>
          <w:i/>
          <w:iCs/>
          <w:sz w:val="20"/>
          <w:szCs w:val="20"/>
        </w:rPr>
        <w:t xml:space="preserve"> 2022 </w:t>
      </w:r>
      <w:r w:rsidRPr="00D32FFA">
        <w:rPr>
          <w:sz w:val="20"/>
          <w:szCs w:val="20"/>
        </w:rPr>
        <w:t xml:space="preserve">r., Gminny Zakład Komunalny </w:t>
      </w:r>
      <w:r w:rsidR="00181B60" w:rsidRPr="00D32FFA">
        <w:rPr>
          <w:sz w:val="20"/>
          <w:szCs w:val="20"/>
        </w:rPr>
        <w:t>S</w:t>
      </w:r>
      <w:r w:rsidRPr="00D32FFA">
        <w:rPr>
          <w:sz w:val="20"/>
          <w:szCs w:val="20"/>
        </w:rPr>
        <w:t xml:space="preserve">p. z o.o., </w:t>
      </w:r>
      <w:r w:rsidR="00181B60" w:rsidRPr="00D32FFA">
        <w:rPr>
          <w:sz w:val="20"/>
          <w:szCs w:val="20"/>
        </w:rPr>
        <w:t xml:space="preserve">                   </w:t>
      </w:r>
      <w:r w:rsidRPr="00D32FFA">
        <w:rPr>
          <w:sz w:val="20"/>
          <w:szCs w:val="20"/>
        </w:rPr>
        <w:t>ul. Źródlana 4, 39-207 Brzeźnica, pokój nr 6, godzina 10:15.</w:t>
      </w:r>
    </w:p>
    <w:p w14:paraId="208221DE" w14:textId="77777777" w:rsidR="00656CC6" w:rsidRPr="00D32FFA" w:rsidRDefault="00656CC6" w:rsidP="00656CC6">
      <w:pPr>
        <w:pStyle w:val="Akapitzlist"/>
        <w:jc w:val="both"/>
        <w:rPr>
          <w:b/>
          <w:bCs/>
        </w:rPr>
      </w:pPr>
    </w:p>
    <w:p w14:paraId="3B5A04A3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Informacja o trybie otwarcia i oceny ofert</w:t>
      </w:r>
    </w:p>
    <w:p w14:paraId="0770A388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073E425F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Otwarcie ofert jest jawne dla wszystkich zainteresowanych.</w:t>
      </w:r>
    </w:p>
    <w:p w14:paraId="7A84DF3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6737334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Podczas otwarcia ofert zostaną ogłoszone nazwy i adresy Wykonawców oraz ceny ofert. </w:t>
      </w:r>
    </w:p>
    <w:p w14:paraId="26177D6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E331815" w14:textId="01EDD93B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lastRenderedPageBreak/>
        <w:t xml:space="preserve">Informacje podane podczas otwarcia ofert zostaną przekazane niezwłocznie wykonawcom, którzy </w:t>
      </w:r>
      <w:r w:rsidR="006C1A0F">
        <w:rPr>
          <w:color w:val="000000" w:themeColor="text1"/>
          <w:sz w:val="20"/>
          <w:szCs w:val="20"/>
        </w:rPr>
        <w:t xml:space="preserve">           </w:t>
      </w:r>
      <w:r w:rsidRPr="002B34F8">
        <w:rPr>
          <w:color w:val="000000" w:themeColor="text1"/>
          <w:sz w:val="20"/>
          <w:szCs w:val="20"/>
        </w:rPr>
        <w:t>nie byli obecni przy otwarciu ofert, na ich wniosek.</w:t>
      </w:r>
    </w:p>
    <w:p w14:paraId="392FCFE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A475E2D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Oferty zostaną sprawdzone przez Zamawiającego pod kątem sporządzenia zgodnie z postanowieniami niniejszej SWZ podczas niejawnego posiedzenia</w:t>
      </w:r>
      <w:r>
        <w:rPr>
          <w:color w:val="000000" w:themeColor="text1"/>
          <w:sz w:val="20"/>
          <w:szCs w:val="20"/>
        </w:rPr>
        <w:t>.</w:t>
      </w:r>
    </w:p>
    <w:p w14:paraId="1EF4EA5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4CE1CF0" w14:textId="77777777" w:rsidR="00656CC6" w:rsidRPr="008F7461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Zamawiający poprawia w ofercie:</w:t>
      </w:r>
    </w:p>
    <w:p w14:paraId="6238F229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Oczywiste omyłki pisarskie</w:t>
      </w:r>
    </w:p>
    <w:p w14:paraId="3DAEF9F8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Oczywiste omyłki rachunkowe, z uwzględnieniem konsekwencji rachunkowych dokonanych poprawek,</w:t>
      </w:r>
    </w:p>
    <w:p w14:paraId="7CB86838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Inne omyłki polegające na niezgodności oferty z SWZ, niepowodujące istotnych zmian w treści oferty;</w:t>
      </w:r>
    </w:p>
    <w:p w14:paraId="49833756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- niezwłocznie zawiadamiając o tym wykonawcę, którego oferta została poprawiona.</w:t>
      </w:r>
    </w:p>
    <w:p w14:paraId="49EEB5FC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5C852EB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toku badania ofert Zamawiający może wezwać Wykonawców, którzy w określonym terminie nie złożyli oświadczeń lub dokumentów potwierdzających spełnienie warunków udziału w postępowaniu lub spełnienie przez oferowane dostawy wymagań określonych przez Zamawiającego, albo którzy nie złożyli pełnomocnictw, oraz tych, którzy złożyli oświadczenia lub dokumenty, o którzy mowa powyżej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muszą potwierdzać spełnianie przez oferowane dostawy wymagań określonych przez Zamawiającego oraz posiadanie pełnomocnictw nie później niż w dniu, w którym upłynął termin wyznaczony w wezwaniu do złożenia dokumentów. Zamawiający może również nie skorzystać z prawa wzywania do uzupełnienia oferty i nie stanowi to naruszenia zasad postępowania. </w:t>
      </w:r>
    </w:p>
    <w:p w14:paraId="5122016C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209D7656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toku badania ofert Zamawiający może także wezwać wykonawców w wyznaczonym przez siebie terminie do złożenia wyjaśnień dotyczących treści złożonych ofert albo treści załączonych do oferty oświadczeń, dokumentów, formularzy lub innych załączników.</w:t>
      </w:r>
    </w:p>
    <w:p w14:paraId="53D17C8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6A27B11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 zobowiązany jest do wypełnienia </w:t>
      </w:r>
      <w:r>
        <w:rPr>
          <w:color w:val="000000" w:themeColor="text1"/>
          <w:sz w:val="20"/>
          <w:szCs w:val="20"/>
        </w:rPr>
        <w:t>Wykazu cen</w:t>
      </w:r>
      <w:r w:rsidRPr="002B34F8">
        <w:rPr>
          <w:color w:val="000000" w:themeColor="text1"/>
          <w:sz w:val="20"/>
          <w:szCs w:val="20"/>
        </w:rPr>
        <w:t xml:space="preserve"> i określenia w nim: cen jednostkowych, wartości netto, kwoty podatku VAT i wartości brutto</w:t>
      </w:r>
      <w:r>
        <w:rPr>
          <w:color w:val="000000" w:themeColor="text1"/>
          <w:sz w:val="20"/>
          <w:szCs w:val="20"/>
        </w:rPr>
        <w:t xml:space="preserve">, jak również wartość całkowitą netto i wartość całkowitą brutto (cena oferty). </w:t>
      </w:r>
    </w:p>
    <w:p w14:paraId="42580DF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71CD848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Wyliczona </w:t>
      </w:r>
      <w:r>
        <w:rPr>
          <w:color w:val="000000" w:themeColor="text1"/>
          <w:sz w:val="20"/>
          <w:szCs w:val="20"/>
        </w:rPr>
        <w:t>w Wykazie cen</w:t>
      </w:r>
      <w:r w:rsidRPr="002B34F8">
        <w:rPr>
          <w:color w:val="000000" w:themeColor="text1"/>
          <w:sz w:val="20"/>
          <w:szCs w:val="20"/>
        </w:rPr>
        <w:t xml:space="preserve"> „WARTOŚĆ CAŁKOWITA BRUTTO” stanowi cenę oferty, która musi zgadzać się z ceną oferty podaną w formularzu oferty.</w:t>
      </w:r>
    </w:p>
    <w:p w14:paraId="38A21F4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E97519E" w14:textId="47C73EA4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 musi wycenić i wypełnić wszystkie pozycje </w:t>
      </w:r>
      <w:r>
        <w:rPr>
          <w:color w:val="000000" w:themeColor="text1"/>
          <w:sz w:val="20"/>
          <w:szCs w:val="20"/>
        </w:rPr>
        <w:t>załącznika - Wykaz cen</w:t>
      </w:r>
      <w:r w:rsidRPr="002B34F8">
        <w:rPr>
          <w:color w:val="000000" w:themeColor="text1"/>
          <w:sz w:val="20"/>
          <w:szCs w:val="20"/>
        </w:rPr>
        <w:t xml:space="preserve">. Brak wyceny jakiejkolwiek pozycji </w:t>
      </w:r>
      <w:r>
        <w:rPr>
          <w:color w:val="000000" w:themeColor="text1"/>
          <w:sz w:val="20"/>
          <w:szCs w:val="20"/>
        </w:rPr>
        <w:t>Wykazu cen</w:t>
      </w:r>
      <w:r w:rsidRPr="002B34F8">
        <w:rPr>
          <w:color w:val="000000" w:themeColor="text1"/>
          <w:sz w:val="20"/>
          <w:szCs w:val="20"/>
        </w:rPr>
        <w:t xml:space="preserve"> traktowane będzie jako niezgodność treści oferty z treścią SWZ</w:t>
      </w:r>
      <w:r w:rsidR="006C1A0F">
        <w:rPr>
          <w:color w:val="000000" w:themeColor="text1"/>
          <w:sz w:val="20"/>
          <w:szCs w:val="20"/>
        </w:rPr>
        <w:t xml:space="preserve">                  </w:t>
      </w:r>
      <w:r w:rsidRPr="002B34F8">
        <w:rPr>
          <w:color w:val="000000" w:themeColor="text1"/>
          <w:sz w:val="20"/>
          <w:szCs w:val="20"/>
        </w:rPr>
        <w:t xml:space="preserve"> i stanowić będzie podstawę odrzucenia oferty. </w:t>
      </w:r>
    </w:p>
    <w:p w14:paraId="4E22FE47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2F81C881" w14:textId="437671AC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Wszystkie ceny i wartości należy podać w polskich złotych. Nie dopuszcza się rozliczania zamówienia </w:t>
      </w:r>
      <w:r w:rsidR="006C1A0F">
        <w:rPr>
          <w:color w:val="000000" w:themeColor="text1"/>
          <w:sz w:val="20"/>
          <w:szCs w:val="20"/>
        </w:rPr>
        <w:t xml:space="preserve">             </w:t>
      </w:r>
      <w:r w:rsidRPr="002B34F8">
        <w:rPr>
          <w:color w:val="000000" w:themeColor="text1"/>
          <w:sz w:val="20"/>
          <w:szCs w:val="20"/>
        </w:rPr>
        <w:t xml:space="preserve">w walutach innych niż polski złoty. </w:t>
      </w:r>
    </w:p>
    <w:p w14:paraId="20F5C71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FE4A3F7" w14:textId="4226879E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Wszystkie ceny i wartości zawarte w </w:t>
      </w:r>
      <w:r>
        <w:rPr>
          <w:color w:val="000000" w:themeColor="text1"/>
          <w:sz w:val="20"/>
          <w:szCs w:val="20"/>
        </w:rPr>
        <w:t>załączniku Wykaz cen</w:t>
      </w:r>
      <w:r w:rsidRPr="002B34F8">
        <w:rPr>
          <w:color w:val="000000" w:themeColor="text1"/>
          <w:sz w:val="20"/>
          <w:szCs w:val="20"/>
        </w:rPr>
        <w:t xml:space="preserve"> i formularzu oferty należy podać </w:t>
      </w:r>
      <w:r w:rsidR="006C1A0F">
        <w:rPr>
          <w:color w:val="000000" w:themeColor="text1"/>
          <w:sz w:val="20"/>
          <w:szCs w:val="20"/>
        </w:rPr>
        <w:t xml:space="preserve">                              </w:t>
      </w:r>
      <w:r w:rsidRPr="002B34F8">
        <w:rPr>
          <w:color w:val="000000" w:themeColor="text1"/>
          <w:sz w:val="20"/>
          <w:szCs w:val="20"/>
        </w:rPr>
        <w:t xml:space="preserve">z dokładnością do dwóch miejsc po przecinku. </w:t>
      </w:r>
    </w:p>
    <w:p w14:paraId="5172FAF1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11E2F1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Opis kryteriów, którymi zamawiający będzie się kierował przy wyborze oferty, wybór oferty</w:t>
      </w:r>
    </w:p>
    <w:p w14:paraId="203C06E7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39E18D1B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oceni i porówna jedynie te oferty, które nie zostaną odrzucone.</w:t>
      </w:r>
    </w:p>
    <w:p w14:paraId="1CEF1FB3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C9FD62B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oceni Oferty w oparciu o kryteria oceny ofert:</w:t>
      </w:r>
    </w:p>
    <w:p w14:paraId="3AE7F5A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FC8E7AE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  <w:r w:rsidRPr="002B34F8">
        <w:rPr>
          <w:b/>
          <w:bCs/>
          <w:color w:val="000000" w:themeColor="text1"/>
          <w:sz w:val="20"/>
          <w:szCs w:val="20"/>
        </w:rPr>
        <w:t xml:space="preserve">CENA (BRUTTO) OFERTY – waga 100 % </w:t>
      </w:r>
      <w:r w:rsidRPr="002B34F8">
        <w:rPr>
          <w:color w:val="000000" w:themeColor="text1"/>
          <w:sz w:val="20"/>
          <w:szCs w:val="20"/>
        </w:rPr>
        <w:t>,</w:t>
      </w:r>
    </w:p>
    <w:p w14:paraId="096CE564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1A8E573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lastRenderedPageBreak/>
        <w:t xml:space="preserve">Za najkorzystniejszą zostanie uznana nie podlegająca odrzuceniu Oferta z najniższą ceną za realizację całości zamówienia </w:t>
      </w:r>
    </w:p>
    <w:p w14:paraId="3777487E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624C9D6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Wykluczenie Wykonawcy</w:t>
      </w:r>
    </w:p>
    <w:p w14:paraId="7C5FFC3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95AE1E9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 postępowania o udzielenie zamówienia wyklucza się:</w:t>
      </w:r>
    </w:p>
    <w:p w14:paraId="7E994FBA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który nie wykazał spełnienia warunków udziału w postępowaniu, lub nie wykazał braku podstaw wykluczenia;</w:t>
      </w:r>
    </w:p>
    <w:p w14:paraId="5A949997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 będącego osobą fizyczną, którego prawomocnie skazano za przestępstwo: </w:t>
      </w:r>
    </w:p>
    <w:p w14:paraId="11D51BFC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79F5C21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Handlu ludźmi, o którym mowa w art. 189a Kodeksu karnego,</w:t>
      </w:r>
    </w:p>
    <w:p w14:paraId="779E1FB3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 którym mowa w art. 228-230a, art. 250a Kodeksu karnego,</w:t>
      </w:r>
    </w:p>
    <w:p w14:paraId="0832FB56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6E0B589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 charakterze terrorystycznym, o którym mowa w art. 115 §20 KK lub mające na celu popełnienie tego przestępstwa,</w:t>
      </w:r>
    </w:p>
    <w:p w14:paraId="15A11174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F2749F5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Przeciwko obrotowi gospodarczemu, o którym mowa w art. 296-307 KK, przestępstwo oszustwa, o którym mowa w art. 286 KK, przestępstwo przeciwko wiarygodności dokumentów, o którym mowa w art. 270-277d KK, lub przestępstwo skarbowe.</w:t>
      </w:r>
    </w:p>
    <w:p w14:paraId="014D2C67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2,</w:t>
      </w:r>
    </w:p>
    <w:p w14:paraId="08AD0A38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chyba, że wykonawca dokonał płatności należnych podatków, opłat lub składek na ubezpieczenia społeczne lub zdrowotne wraz z odsetkami lub grzywnami lub zawarł wiążące porozumienie w sprawie spłaty tych należności,</w:t>
      </w:r>
    </w:p>
    <w:p w14:paraId="716DAC8E" w14:textId="1B3147E1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który w wyniku zamierzonego działania lub rażącego niedbalstwa wprowadził zamawiającego w błąd przy przedstawianiu informacji, że ni</w:t>
      </w:r>
      <w:r w:rsidR="00283E53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 xml:space="preserve">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14:paraId="1781C15B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Wykonawcę, który z innymi wykonawcami zawarł porozumienie mające na celu zakłócenie konkurencji między wykonawcami w postępowaniu o udzielenie zamówienia, co zamawiający jest w stanie wykazać za pomocą stosownych środków dowodowych, </w:t>
      </w:r>
    </w:p>
    <w:p w14:paraId="67E3825E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Wykonawcę, wobec którego orzeczono tytułem środka zapobiegawczego zakaz ubiegania się o zamówienia publiczne, </w:t>
      </w:r>
    </w:p>
    <w:p w14:paraId="1E0D46D6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Wykonawców, którzy należąc do tej samej grupy kapitałowej, w rozumieniu ustawy o ochronie konkurencji i konsumentów złożyli odrębne oferty, chyba że wykażą, że istniejące między nimi powiązania nie prowadzą do zakłócenia konkurencji w postępowaniu o udzielenie zamówienia.</w:t>
      </w:r>
    </w:p>
    <w:p w14:paraId="7E634ECA" w14:textId="77777777" w:rsidR="00656CC6" w:rsidRPr="002B34F8" w:rsidRDefault="00656CC6" w:rsidP="00656CC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42D28D6D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 postępowania o udzielenie zamówienia wyklucza się również Wykonawców:</w:t>
      </w:r>
    </w:p>
    <w:p w14:paraId="228853C2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stosunku do którego otwarto likwidację , zatwierdzonym przez sąd układzie w postępowaniu restrukturyzacyjnym jest przewidziany zaspokojenie wierzycieli przez likwidację jego majątku lub sąd zarządził likwidacji jego majątku w trybie art. 332 ust 1. Ustawy – prawo restrukturyzacyjne, lub którego upadłość ogłoszona,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– prawo upadłościowe.</w:t>
      </w:r>
    </w:p>
    <w:p w14:paraId="6302060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lastRenderedPageBreak/>
        <w:t>Który w sposób zawiniony poważnie naruszył obowiązki zawodowe, co podważa jego uczciwość, w szczególności gdy wykonawca w wyniku zamierzonego działania lub drażniącego niedbalstwa nie wykonał lub nienależycie wykonał zamówienie, to zamawiający jest w stanie wykazać za pomocą stosownych środków dowodowych,</w:t>
      </w:r>
    </w:p>
    <w:p w14:paraId="5FAF12F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Który, z przyczyn leżących po jego stronie, nie wykonał albo nienależycie wykonał w istotnym stopniu wcześniejszą umowę w sprawie zamówienia publicznego, zawartą z Zamawiającym, co doprowadziło do rozwiązania umowy lub zasądzenie odszkodowania,</w:t>
      </w:r>
    </w:p>
    <w:p w14:paraId="5A784DD3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4),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544E704B" w14:textId="4C9F311E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Wykluczeni</w:t>
      </w:r>
      <w:r w:rsidR="00283E53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 xml:space="preserve"> wykonawcy następuje:</w:t>
      </w:r>
    </w:p>
    <w:p w14:paraId="6036C283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</w:t>
      </w:r>
      <w:r>
        <w:rPr>
          <w:color w:val="000000" w:themeColor="text1"/>
          <w:sz w:val="20"/>
          <w:szCs w:val="20"/>
        </w:rPr>
        <w:t>,</w:t>
      </w:r>
      <w:r w:rsidRPr="002B34F8">
        <w:rPr>
          <w:color w:val="000000" w:themeColor="text1"/>
          <w:sz w:val="20"/>
          <w:szCs w:val="20"/>
        </w:rPr>
        <w:t xml:space="preserve"> o których mowa w ust. 1 pkt 2) lut. a-c i pkt 3), gdy osoba</w:t>
      </w:r>
      <w:r>
        <w:rPr>
          <w:color w:val="000000" w:themeColor="text1"/>
          <w:sz w:val="20"/>
          <w:szCs w:val="20"/>
        </w:rPr>
        <w:t>,</w:t>
      </w:r>
      <w:r w:rsidRPr="002B34F8">
        <w:rPr>
          <w:color w:val="000000" w:themeColor="text1"/>
          <w:sz w:val="20"/>
          <w:szCs w:val="20"/>
        </w:rPr>
        <w:t xml:space="preserve"> o której mowa w tych przepisach została skazana za przestępstwo wymienione w ust. 1 pkt 2) lit a-c, jeżeli nie upłynęło pięć lat od dnia uprawomocnienia się wyroku potwierdzającego zaistnienie jednej z podstaw wykluczenia, chyba że w tym wyroku został określony inny okres wykluczenia,</w:t>
      </w:r>
    </w:p>
    <w:p w14:paraId="2FD1108E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przypadkach, o których mowa w ust. 1 pkt 4, jeżeli nie upłynęły trzy lata od dnia odpowiednio uprawomocnienia się wyroku potwierdzającego zaistnienia jednej z podstaw wykluczenia, chyba że w tym wyroku został określony inny okres wykluczenia lub od dnia w którym decyzja potwierdzająca zaistnienie jednej z podstaw wykluczenia stała się ostateczna.</w:t>
      </w:r>
    </w:p>
    <w:p w14:paraId="0274DFD2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przypadkach, o których mowa w ust. 1 pkt 7-8 oraz ust. 2 pkt 2 i 3, jeżeli nie upłynęły 3 lata od dnia zaistnienia zdarzenia będącego podstawą wykluczenia,</w:t>
      </w:r>
    </w:p>
    <w:p w14:paraId="58BB32A9" w14:textId="12DD13C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Wykonawca, który podlega wykluczeniu na podstawie ust. 1 pkt 2 i 3 oraz 5-9, i ust</w:t>
      </w:r>
      <w:r w:rsidR="00283E53">
        <w:rPr>
          <w:color w:val="000000" w:themeColor="text1"/>
          <w:sz w:val="20"/>
          <w:szCs w:val="20"/>
        </w:rPr>
        <w:t>.</w:t>
      </w:r>
      <w:r w:rsidRPr="002B34F8">
        <w:rPr>
          <w:color w:val="000000" w:themeColor="text1"/>
          <w:sz w:val="20"/>
          <w:szCs w:val="20"/>
        </w:rPr>
        <w:t xml:space="preserve"> 2 może przedstawić dowody na to, że podjęte przez niego środki są wystarczające do wykazani</w:t>
      </w:r>
      <w:r w:rsidR="00283E53">
        <w:rPr>
          <w:color w:val="000000" w:themeColor="text1"/>
          <w:sz w:val="20"/>
          <w:szCs w:val="20"/>
        </w:rPr>
        <w:t>a</w:t>
      </w:r>
      <w:r w:rsidRPr="002B34F8">
        <w:rPr>
          <w:color w:val="000000" w:themeColor="text1"/>
          <w:sz w:val="20"/>
          <w:szCs w:val="20"/>
        </w:rPr>
        <w:t xml:space="preserve"> jego rzetelności, </w:t>
      </w:r>
      <w:r w:rsidR="00283E53">
        <w:rPr>
          <w:color w:val="000000" w:themeColor="text1"/>
          <w:sz w:val="20"/>
          <w:szCs w:val="20"/>
        </w:rPr>
        <w:t xml:space="preserve">                          </w:t>
      </w:r>
      <w:r w:rsidRPr="002B34F8">
        <w:rPr>
          <w:color w:val="000000" w:themeColor="text1"/>
          <w:sz w:val="20"/>
          <w:szCs w:val="20"/>
        </w:rPr>
        <w:t>w szczególności udowodni naprawieni</w:t>
      </w:r>
      <w:r w:rsidR="007900DA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 xml:space="preserve"> szkody wyrządzonej przestępstwem lub przestępstw</w:t>
      </w:r>
      <w:r w:rsidR="007900DA">
        <w:rPr>
          <w:color w:val="000000" w:themeColor="text1"/>
          <w:sz w:val="20"/>
          <w:szCs w:val="20"/>
        </w:rPr>
        <w:t>em</w:t>
      </w:r>
      <w:r w:rsidRPr="002B34F8">
        <w:rPr>
          <w:color w:val="000000" w:themeColor="text1"/>
          <w:sz w:val="20"/>
          <w:szCs w:val="20"/>
        </w:rPr>
        <w:t xml:space="preserve"> skarbow</w:t>
      </w:r>
      <w:r w:rsidR="007900DA">
        <w:rPr>
          <w:color w:val="000000" w:themeColor="text1"/>
          <w:sz w:val="20"/>
          <w:szCs w:val="20"/>
        </w:rPr>
        <w:t>ym</w:t>
      </w:r>
      <w:r w:rsidRPr="002B34F8">
        <w:rPr>
          <w:color w:val="000000" w:themeColor="text1"/>
          <w:sz w:val="20"/>
          <w:szCs w:val="20"/>
        </w:rPr>
        <w:t>, zadośćuczynieni pieniężne za doznaną krzywdę lub naprawi szkody, i wyczerp</w:t>
      </w:r>
      <w:r w:rsidR="007900DA">
        <w:rPr>
          <w:color w:val="000000" w:themeColor="text1"/>
          <w:sz w:val="20"/>
          <w:szCs w:val="20"/>
        </w:rPr>
        <w:t>ie</w:t>
      </w:r>
      <w:r w:rsidRPr="002B34F8">
        <w:rPr>
          <w:color w:val="000000" w:themeColor="text1"/>
          <w:sz w:val="20"/>
          <w:szCs w:val="20"/>
        </w:rPr>
        <w:t xml:space="preserve"> wyjaśnienia stanu faktycznego oraz współprac</w:t>
      </w:r>
      <w:r w:rsidR="007900DA">
        <w:rPr>
          <w:color w:val="000000" w:themeColor="text1"/>
          <w:sz w:val="20"/>
          <w:szCs w:val="20"/>
        </w:rPr>
        <w:t>uje</w:t>
      </w:r>
      <w:r w:rsidRPr="002B34F8">
        <w:rPr>
          <w:color w:val="000000" w:themeColor="text1"/>
          <w:sz w:val="20"/>
          <w:szCs w:val="20"/>
        </w:rPr>
        <w:t xml:space="preserve"> z organami ścigania oraz pod</w:t>
      </w:r>
      <w:r w:rsidR="007900DA">
        <w:rPr>
          <w:color w:val="000000" w:themeColor="text1"/>
          <w:sz w:val="20"/>
          <w:szCs w:val="20"/>
        </w:rPr>
        <w:t xml:space="preserve">ejmie </w:t>
      </w:r>
      <w:r w:rsidRPr="002B34F8">
        <w:rPr>
          <w:color w:val="000000" w:themeColor="text1"/>
          <w:sz w:val="20"/>
          <w:szCs w:val="20"/>
        </w:rPr>
        <w:t>konkretn</w:t>
      </w:r>
      <w:r w:rsidR="007900DA">
        <w:rPr>
          <w:color w:val="000000" w:themeColor="text1"/>
          <w:sz w:val="20"/>
          <w:szCs w:val="20"/>
        </w:rPr>
        <w:t xml:space="preserve">e </w:t>
      </w:r>
      <w:r w:rsidRPr="002B34F8">
        <w:rPr>
          <w:color w:val="000000" w:themeColor="text1"/>
          <w:sz w:val="20"/>
          <w:szCs w:val="20"/>
        </w:rPr>
        <w:t>środk</w:t>
      </w:r>
      <w:r w:rsidR="007900DA">
        <w:rPr>
          <w:color w:val="000000" w:themeColor="text1"/>
          <w:sz w:val="20"/>
          <w:szCs w:val="20"/>
        </w:rPr>
        <w:t>i</w:t>
      </w:r>
      <w:r w:rsidRPr="002B34F8">
        <w:rPr>
          <w:color w:val="000000" w:themeColor="text1"/>
          <w:sz w:val="20"/>
          <w:szCs w:val="20"/>
        </w:rPr>
        <w:t xml:space="preserve"> techniczn</w:t>
      </w:r>
      <w:r w:rsidR="007900DA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>, organizacyjn</w:t>
      </w:r>
      <w:r w:rsidR="007900DA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 xml:space="preserve"> i kadrow</w:t>
      </w:r>
      <w:r w:rsidR="007900DA">
        <w:rPr>
          <w:color w:val="000000" w:themeColor="text1"/>
          <w:sz w:val="20"/>
          <w:szCs w:val="20"/>
        </w:rPr>
        <w:t>e</w:t>
      </w:r>
      <w:r w:rsidRPr="002B34F8">
        <w:rPr>
          <w:color w:val="000000" w:themeColor="text1"/>
          <w:sz w:val="20"/>
          <w:szCs w:val="20"/>
        </w:rPr>
        <w:t>, które są odpowiednie dla zapobiegania dalszym przestępstwo</w:t>
      </w:r>
      <w:r w:rsidR="007900DA">
        <w:rPr>
          <w:color w:val="000000" w:themeColor="text1"/>
          <w:sz w:val="20"/>
          <w:szCs w:val="20"/>
        </w:rPr>
        <w:t>m</w:t>
      </w:r>
      <w:r w:rsidRPr="002B34F8">
        <w:rPr>
          <w:color w:val="000000" w:themeColor="text1"/>
          <w:sz w:val="20"/>
          <w:szCs w:val="20"/>
        </w:rPr>
        <w:t xml:space="preserve"> lub przestępstwo</w:t>
      </w:r>
      <w:r w:rsidR="007900DA">
        <w:rPr>
          <w:color w:val="000000" w:themeColor="text1"/>
          <w:sz w:val="20"/>
          <w:szCs w:val="20"/>
        </w:rPr>
        <w:t>m</w:t>
      </w:r>
      <w:r w:rsidRPr="002B34F8">
        <w:rPr>
          <w:color w:val="000000" w:themeColor="text1"/>
          <w:sz w:val="20"/>
          <w:szCs w:val="20"/>
        </w:rPr>
        <w:t xml:space="preserve"> skarbow</w:t>
      </w:r>
      <w:r w:rsidR="007900DA">
        <w:rPr>
          <w:color w:val="000000" w:themeColor="text1"/>
          <w:sz w:val="20"/>
          <w:szCs w:val="20"/>
        </w:rPr>
        <w:t>ym</w:t>
      </w:r>
      <w:r w:rsidRPr="002B34F8">
        <w:rPr>
          <w:color w:val="000000" w:themeColor="text1"/>
          <w:sz w:val="20"/>
          <w:szCs w:val="20"/>
        </w:rPr>
        <w:t xml:space="preserve"> lub nieprawidłowemu postępowaniu wykonawcy. Przepis zdani</w:t>
      </w:r>
      <w:r w:rsidR="007A0055">
        <w:rPr>
          <w:color w:val="000000" w:themeColor="text1"/>
          <w:sz w:val="20"/>
          <w:szCs w:val="20"/>
        </w:rPr>
        <w:t>a</w:t>
      </w:r>
      <w:r w:rsidRPr="002B34F8">
        <w:rPr>
          <w:color w:val="000000" w:themeColor="text1"/>
          <w:sz w:val="20"/>
          <w:szCs w:val="20"/>
        </w:rPr>
        <w:t xml:space="preserve"> pierwszego nie stosuje się, jeżeli wobec wykonawcy, będącego podmiotem zbiorowym, o</w:t>
      </w:r>
      <w:r w:rsidR="007A0055">
        <w:rPr>
          <w:color w:val="000000" w:themeColor="text1"/>
          <w:sz w:val="20"/>
          <w:szCs w:val="20"/>
        </w:rPr>
        <w:t>rze</w:t>
      </w:r>
      <w:r w:rsidRPr="002B34F8">
        <w:rPr>
          <w:color w:val="000000" w:themeColor="text1"/>
          <w:sz w:val="20"/>
          <w:szCs w:val="20"/>
        </w:rPr>
        <w:t>czon</w:t>
      </w:r>
      <w:r w:rsidR="007A0055">
        <w:rPr>
          <w:color w:val="000000" w:themeColor="text1"/>
          <w:sz w:val="20"/>
          <w:szCs w:val="20"/>
        </w:rPr>
        <w:t>o</w:t>
      </w:r>
      <w:r w:rsidRPr="002B34F8">
        <w:rPr>
          <w:color w:val="000000" w:themeColor="text1"/>
          <w:sz w:val="20"/>
          <w:szCs w:val="20"/>
        </w:rPr>
        <w:t xml:space="preserve"> prawomocnym wyrokiem sądu zakaz ubiegania się o udzielenie zamówienia oraz nie upłynął określony w tym wyroku okres obowiązywania tego zakazu.</w:t>
      </w:r>
    </w:p>
    <w:p w14:paraId="20936028" w14:textId="2390F308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Wykonawca, który podlega wykluczeniu, jeżeli zamawiający uwzględniając wagę i szczególne okoliczności </w:t>
      </w:r>
      <w:r w:rsidR="00FB5DA8">
        <w:rPr>
          <w:color w:val="000000" w:themeColor="text1"/>
          <w:sz w:val="20"/>
          <w:szCs w:val="20"/>
        </w:rPr>
        <w:t>c</w:t>
      </w:r>
      <w:r w:rsidRPr="002B34F8">
        <w:rPr>
          <w:color w:val="000000" w:themeColor="text1"/>
          <w:sz w:val="20"/>
          <w:szCs w:val="20"/>
        </w:rPr>
        <w:t xml:space="preserve">zynu </w:t>
      </w:r>
      <w:r w:rsidR="00B93569">
        <w:rPr>
          <w:color w:val="000000" w:themeColor="text1"/>
          <w:sz w:val="20"/>
          <w:szCs w:val="20"/>
        </w:rPr>
        <w:t>u</w:t>
      </w:r>
      <w:r w:rsidRPr="002B34F8">
        <w:rPr>
          <w:color w:val="000000" w:themeColor="text1"/>
          <w:sz w:val="20"/>
          <w:szCs w:val="20"/>
        </w:rPr>
        <w:t>zna za wystarczające dowody przedstawione na podstawie ust. 4.</w:t>
      </w:r>
    </w:p>
    <w:p w14:paraId="50DC921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może wykluczyć wykonawcę na każdym etapie postępowania o udzielenie zamówienia.</w:t>
      </w:r>
    </w:p>
    <w:p w14:paraId="38DD0845" w14:textId="13D7DAA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Wszystkim wykluczonym wykonawc</w:t>
      </w:r>
      <w:r w:rsidR="00B93569">
        <w:rPr>
          <w:color w:val="000000" w:themeColor="text1"/>
          <w:sz w:val="20"/>
          <w:szCs w:val="20"/>
        </w:rPr>
        <w:t>om</w:t>
      </w:r>
      <w:r w:rsidRPr="002B34F8">
        <w:rPr>
          <w:color w:val="000000" w:themeColor="text1"/>
          <w:sz w:val="20"/>
          <w:szCs w:val="20"/>
        </w:rPr>
        <w:t xml:space="preserve"> przekazuje się równocześnie z wynikami postępowania informacj</w:t>
      </w:r>
      <w:r w:rsidR="00B93569">
        <w:rPr>
          <w:color w:val="000000" w:themeColor="text1"/>
          <w:sz w:val="20"/>
          <w:szCs w:val="20"/>
        </w:rPr>
        <w:t>ę</w:t>
      </w:r>
      <w:r w:rsidRPr="002B34F8">
        <w:rPr>
          <w:color w:val="000000" w:themeColor="text1"/>
          <w:sz w:val="20"/>
          <w:szCs w:val="20"/>
        </w:rPr>
        <w:t xml:space="preserve"> o ich wykluczeniu, podając uzasadnienie faktyczne i prawne.</w:t>
      </w:r>
    </w:p>
    <w:p w14:paraId="12931457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Ofertę wykonawcy wykluczonego uznaje się za odrzuconą.</w:t>
      </w:r>
    </w:p>
    <w:p w14:paraId="2F7FF5D8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B0727B3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Odrzucenie oferty</w:t>
      </w:r>
    </w:p>
    <w:p w14:paraId="3C8ADBC3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61DAA99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odrzuca ofertę, jeżeli:</w:t>
      </w:r>
    </w:p>
    <w:p w14:paraId="2B26727F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jej treść nie odpowiada treści SWZ,</w:t>
      </w:r>
    </w:p>
    <w:p w14:paraId="7D032D7A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jej złożenie stanowi czyn nieuczciwej konkurencji w rozumieniu przepisów o zwalczaniu nieuczciwej konkurencji, </w:t>
      </w:r>
    </w:p>
    <w:p w14:paraId="7DF49C20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została złożona przez wykonawcę wykluczonego z udziału w postępowaniu o udzielenie zamówienia,</w:t>
      </w:r>
    </w:p>
    <w:p w14:paraId="2C166CB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zawiera błędy w obliczeniu ceny,</w:t>
      </w:r>
    </w:p>
    <w:p w14:paraId="735664E6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 w terminie 3 dni od dnia otrzymania zawiadomienia nie zgodził się na poprawienie omyłki, o których mowa w SWZ,</w:t>
      </w:r>
    </w:p>
    <w:p w14:paraId="5469CE61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jest nieważna na podstawie odrębnych przepisów</w:t>
      </w:r>
    </w:p>
    <w:p w14:paraId="7A1F3EC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Równocześnie z wynikami postępowania zamawiający informuje wykonawcę, którego oferta została odrzucona, o odrzuceniu oferty podając przyczyny jej odrzucenia. </w:t>
      </w:r>
    </w:p>
    <w:p w14:paraId="1BB7FC1C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7C4F916A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Wadium</w:t>
      </w:r>
    </w:p>
    <w:p w14:paraId="138A8825" w14:textId="77777777" w:rsidR="00656CC6" w:rsidRPr="002B34F8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495B800" w14:textId="77777777" w:rsidR="00656CC6" w:rsidRPr="002B34F8" w:rsidRDefault="00656CC6" w:rsidP="00656CC6">
      <w:pPr>
        <w:ind w:left="360" w:firstLine="348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wymaga wniesienia wadium.</w:t>
      </w:r>
    </w:p>
    <w:p w14:paraId="3EC0B98F" w14:textId="77777777" w:rsidR="00656CC6" w:rsidRPr="002B34F8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029B6976" w14:textId="5D785E6C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Wzór umowy o wykonani</w:t>
      </w:r>
      <w:r w:rsidR="000472C3">
        <w:rPr>
          <w:b/>
          <w:bCs/>
          <w:color w:val="000000" w:themeColor="text1"/>
        </w:rPr>
        <w:t>e</w:t>
      </w:r>
      <w:r w:rsidRPr="00144E94">
        <w:rPr>
          <w:b/>
          <w:bCs/>
          <w:color w:val="000000" w:themeColor="text1"/>
        </w:rPr>
        <w:t xml:space="preserve"> sektorowego zamówienia podprogowego</w:t>
      </w:r>
    </w:p>
    <w:p w14:paraId="1F29846C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6C9F1B1" w14:textId="214DDC2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 wykonawcą, którego oferta zostanie wybrana jako najkorzystniejsza, Zamawiający podpisze umowę </w:t>
      </w:r>
      <w:r w:rsidR="000472C3">
        <w:rPr>
          <w:color w:val="000000" w:themeColor="text1"/>
          <w:sz w:val="20"/>
          <w:szCs w:val="20"/>
        </w:rPr>
        <w:t xml:space="preserve">        </w:t>
      </w:r>
      <w:r w:rsidRPr="002B34F8">
        <w:rPr>
          <w:color w:val="000000" w:themeColor="text1"/>
          <w:sz w:val="20"/>
          <w:szCs w:val="20"/>
        </w:rPr>
        <w:t>o wykonanie sektorowego zamówienia podprogowego.</w:t>
      </w:r>
    </w:p>
    <w:p w14:paraId="5C49BE3C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413E0B6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Wszelkie postanowienia zawiera wzór umowy </w:t>
      </w:r>
      <w:r w:rsidRPr="004257E1">
        <w:rPr>
          <w:color w:val="000000" w:themeColor="text1"/>
          <w:sz w:val="20"/>
          <w:szCs w:val="20"/>
        </w:rPr>
        <w:t>stanowiący załącznik nr 4</w:t>
      </w:r>
      <w:r>
        <w:rPr>
          <w:color w:val="000000" w:themeColor="text1"/>
          <w:sz w:val="20"/>
          <w:szCs w:val="20"/>
        </w:rPr>
        <w:t xml:space="preserve"> </w:t>
      </w:r>
      <w:r w:rsidRPr="002B34F8">
        <w:rPr>
          <w:color w:val="000000" w:themeColor="text1"/>
          <w:sz w:val="20"/>
          <w:szCs w:val="20"/>
        </w:rPr>
        <w:t>do SWZ</w:t>
      </w:r>
      <w:r>
        <w:rPr>
          <w:color w:val="000000" w:themeColor="text1"/>
          <w:sz w:val="20"/>
          <w:szCs w:val="20"/>
        </w:rPr>
        <w:t xml:space="preserve">, przy czym wiążące dla stron są postanowienia zarówno zawarte w umowie jak i w SWZ.  </w:t>
      </w:r>
    </w:p>
    <w:p w14:paraId="59A06295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8F2DE5E" w14:textId="77777777" w:rsidR="00656CC6" w:rsidRPr="004257E1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4257E1">
        <w:rPr>
          <w:color w:val="000000" w:themeColor="text1"/>
          <w:sz w:val="20"/>
          <w:szCs w:val="20"/>
        </w:rPr>
        <w:t xml:space="preserve">Wykonawca, na formularzu </w:t>
      </w:r>
      <w:r>
        <w:rPr>
          <w:color w:val="000000" w:themeColor="text1"/>
          <w:sz w:val="20"/>
          <w:szCs w:val="20"/>
        </w:rPr>
        <w:t>oferty</w:t>
      </w:r>
      <w:r w:rsidRPr="004257E1">
        <w:rPr>
          <w:color w:val="000000" w:themeColor="text1"/>
          <w:sz w:val="20"/>
          <w:szCs w:val="20"/>
        </w:rPr>
        <w:t xml:space="preserve"> złoży oświadczeni</w:t>
      </w:r>
      <w:r>
        <w:rPr>
          <w:color w:val="000000" w:themeColor="text1"/>
          <w:sz w:val="20"/>
          <w:szCs w:val="20"/>
        </w:rPr>
        <w:t>e</w:t>
      </w:r>
      <w:r w:rsidRPr="004257E1">
        <w:rPr>
          <w:color w:val="000000" w:themeColor="text1"/>
          <w:sz w:val="20"/>
          <w:szCs w:val="20"/>
        </w:rPr>
        <w:t xml:space="preserve"> o gotowości do zawarcia umowy z Zamawiającym na warunkach określonych we wzorze umowy. </w:t>
      </w:r>
    </w:p>
    <w:p w14:paraId="1849C01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05B53F9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Umowa zostanie zawarta na podstawie złożonej oferty Wykonawcy.</w:t>
      </w:r>
    </w:p>
    <w:p w14:paraId="2AB16FF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4204D62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przypadku Wykonawców wspólnie ubiegających się o zamówienie, których oferta zostanie uznana za najkorzystniejszą, Wykonawcy ci zobowiązani będą przed podpisaniem umowy przedłożyć umowę regulującą </w:t>
      </w:r>
      <w:r>
        <w:rPr>
          <w:color w:val="000000" w:themeColor="text1"/>
          <w:sz w:val="20"/>
          <w:szCs w:val="20"/>
        </w:rPr>
        <w:t>i</w:t>
      </w:r>
      <w:r w:rsidRPr="002B34F8">
        <w:rPr>
          <w:color w:val="000000" w:themeColor="text1"/>
          <w:sz w:val="20"/>
          <w:szCs w:val="20"/>
        </w:rPr>
        <w:t xml:space="preserve">ch współpracę. </w:t>
      </w:r>
    </w:p>
    <w:p w14:paraId="1645AAD4" w14:textId="77777777" w:rsidR="00656CC6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09B7552B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594B1767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Sposób porozumiewania się pomiędzy Zamawiającym a Wykonawcą, osoba uprawniona do bezpośredniego kontaktowania się z Wykonawcami</w:t>
      </w:r>
    </w:p>
    <w:p w14:paraId="30CDC0E1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606D583F" w14:textId="77777777" w:rsidR="00656CC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niniejszym postępowaniu o udzielenie zamówienia publicznego komunikacja pomiędzy Zamawiającym a Wykonawcami</w:t>
      </w:r>
      <w:r>
        <w:rPr>
          <w:color w:val="000000" w:themeColor="text1"/>
          <w:sz w:val="20"/>
          <w:szCs w:val="20"/>
        </w:rPr>
        <w:t xml:space="preserve"> odbywa się w sposób elektroniczny lub pisemny, przy czym złożenie oferty może nastąpić wyłącznie pisemnie. </w:t>
      </w:r>
    </w:p>
    <w:p w14:paraId="5DDF40ED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8CAAE58" w14:textId="77777777" w:rsidR="00656CC6" w:rsidRPr="00DF436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Adres poczty elektronicznej do komunikacji Wykonawców z Zamawiającym: </w:t>
      </w:r>
      <w:hyperlink r:id="rId9" w:history="1">
        <w:r w:rsidRPr="003C7CF6">
          <w:rPr>
            <w:rStyle w:val="Hipercze"/>
            <w:sz w:val="20"/>
            <w:szCs w:val="20"/>
          </w:rPr>
          <w:t>buro@gzkbrzeznica.pl</w:t>
        </w:r>
      </w:hyperlink>
    </w:p>
    <w:p w14:paraId="728F5589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FD1545D" w14:textId="77777777" w:rsidR="00656CC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Ze strony Zamawiającego, uprawnionymi do kontaktu z Wykonawcami są:</w:t>
      </w:r>
    </w:p>
    <w:p w14:paraId="1C9E6DB2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4E30D86" w14:textId="77777777" w:rsidR="00656CC6" w:rsidRDefault="00656CC6" w:rsidP="00656CC6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sprawach technicznych: </w:t>
      </w:r>
    </w:p>
    <w:p w14:paraId="158A8894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Pan Sławomir Czuba, </w:t>
      </w:r>
    </w:p>
    <w:p w14:paraId="7EA64065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tel. 530 576 892, </w:t>
      </w:r>
    </w:p>
    <w:p w14:paraId="4B017075" w14:textId="77777777" w:rsidR="00656CC6" w:rsidRPr="007A280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e-mail: </w:t>
      </w:r>
      <w:hyperlink r:id="rId10" w:history="1">
        <w:r w:rsidRPr="007A2806">
          <w:rPr>
            <w:rStyle w:val="Hipercze"/>
            <w:sz w:val="20"/>
            <w:szCs w:val="20"/>
            <w:lang w:val="en-US"/>
          </w:rPr>
          <w:t>slawomir.czuba@gzkbrzeznica.pl</w:t>
        </w:r>
      </w:hyperlink>
    </w:p>
    <w:p w14:paraId="11440575" w14:textId="77777777" w:rsidR="00656CC6" w:rsidRPr="007A2806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  <w:lang w:val="en-US"/>
        </w:rPr>
      </w:pPr>
    </w:p>
    <w:p w14:paraId="799221E2" w14:textId="77777777" w:rsidR="00656CC6" w:rsidRPr="007A2806" w:rsidRDefault="00656CC6" w:rsidP="00656CC6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 xml:space="preserve">W sprawach formalnych: </w:t>
      </w:r>
    </w:p>
    <w:p w14:paraId="762AC6C5" w14:textId="78EF7924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Pani </w:t>
      </w:r>
      <w:r w:rsidR="000472C3">
        <w:rPr>
          <w:color w:val="000000" w:themeColor="text1"/>
          <w:sz w:val="20"/>
          <w:szCs w:val="20"/>
        </w:rPr>
        <w:t>Kuźmińska Beata</w:t>
      </w:r>
      <w:r>
        <w:rPr>
          <w:color w:val="000000" w:themeColor="text1"/>
          <w:sz w:val="20"/>
          <w:szCs w:val="20"/>
        </w:rPr>
        <w:t xml:space="preserve">, </w:t>
      </w:r>
    </w:p>
    <w:p w14:paraId="62187484" w14:textId="3B71B92C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tel. </w:t>
      </w:r>
      <w:r w:rsidR="000472C3">
        <w:rPr>
          <w:color w:val="000000" w:themeColor="text1"/>
          <w:sz w:val="20"/>
          <w:szCs w:val="20"/>
        </w:rPr>
        <w:t>883-915-959</w:t>
      </w:r>
      <w:r w:rsidRPr="007A280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</w:p>
    <w:p w14:paraId="5F3ADD05" w14:textId="5B48D270" w:rsidR="00656CC6" w:rsidRPr="007A280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 w:rsidRPr="007A2806">
        <w:rPr>
          <w:color w:val="000000" w:themeColor="text1"/>
          <w:sz w:val="20"/>
          <w:szCs w:val="20"/>
        </w:rPr>
        <w:t xml:space="preserve">email: </w:t>
      </w:r>
      <w:hyperlink r:id="rId11" w:history="1">
        <w:r w:rsidR="00C220A1" w:rsidRPr="00C80FDC">
          <w:rPr>
            <w:rStyle w:val="Hipercze"/>
            <w:sz w:val="20"/>
            <w:szCs w:val="20"/>
          </w:rPr>
          <w:t>beata.kuzminska@gzkbrzeznica.pl</w:t>
        </w:r>
      </w:hyperlink>
    </w:p>
    <w:p w14:paraId="703DE653" w14:textId="77777777" w:rsidR="00656CC6" w:rsidRPr="007A2806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1B9F25F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 xml:space="preserve">Termin związania ofertą </w:t>
      </w:r>
    </w:p>
    <w:p w14:paraId="2593CF80" w14:textId="77777777" w:rsidR="00656CC6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328C22B0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Wykonawca jest związany ofertą przez okres 30 dni.</w:t>
      </w:r>
    </w:p>
    <w:p w14:paraId="451B94D3" w14:textId="77777777" w:rsidR="00656CC6" w:rsidRPr="004257E1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4E294927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Bieg terminu rozpoczyna się wraz z upływem terminu składania ofert.</w:t>
      </w:r>
    </w:p>
    <w:p w14:paraId="20E84997" w14:textId="77777777" w:rsidR="00656CC6" w:rsidRPr="004257E1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0A5BF954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Każdy wykonawca jest związany ofertą, także po wyborze oferty innego Wykonawcy do dnia określonego w pkt 1 i 2. </w:t>
      </w:r>
    </w:p>
    <w:p w14:paraId="0578CC55" w14:textId="77777777" w:rsidR="00656CC6" w:rsidRPr="004257E1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064390EE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Wyjaśnienia treści SWZ i zmiany w SWZ:</w:t>
      </w:r>
    </w:p>
    <w:p w14:paraId="691BA8D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5292AA7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Wykonawcy mogą zwrócić się do Zamawiającego o wyjaśnienie treści SWZ, drogą elektroniczną zgodnie z postanowieniami rozdziału XVII, a Zamawiający udzieli wyjaśnień niezwłocznie, jednak nie później niż na 1 dzień przed upływem terminu składania ofert pod warunkiem, że wniosek o wyjaśnienie SWZ lub </w:t>
      </w:r>
      <w:r>
        <w:rPr>
          <w:color w:val="000000" w:themeColor="text1"/>
          <w:sz w:val="20"/>
          <w:szCs w:val="20"/>
        </w:rPr>
        <w:lastRenderedPageBreak/>
        <w:t xml:space="preserve">jej załączników wpłynął do Zamawiającego nie później niż na 3 dni przed końcem terminu składania ofert. </w:t>
      </w:r>
    </w:p>
    <w:p w14:paraId="77562DBE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025D380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Jeżeli wniosek o wyjaśnienie wpłynie po upływie terminu określonego w pkt 1, Zamawiający może udzielić wyjaśnień lub pozostawić wniosek bez rozpoznania. </w:t>
      </w:r>
    </w:p>
    <w:p w14:paraId="062FAA8C" w14:textId="77777777" w:rsidR="00656CC6" w:rsidRPr="00031080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DAE768D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Treść zapytań wraz z wyjaśnieniami Zamawiający zamieści na swojej stronie internetowej w zakładce zamówienia publiczne dla niniejszego postępowania. </w:t>
      </w:r>
    </w:p>
    <w:p w14:paraId="5906FA2E" w14:textId="77777777" w:rsidR="00656CC6" w:rsidRPr="00031080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BB89365" w14:textId="77777777" w:rsidR="00656CC6" w:rsidRPr="002B34F8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w każdym czasie przed upływem terminu składania ofert dokonać modyfikacji treści SWZ lub jej załączników. Zmiany treści SWZ Zamawiający zamieści na swojej stronie internetowej w tym miejscu, w którym udostępnił niniejszą specyfikację. </w:t>
      </w:r>
    </w:p>
    <w:p w14:paraId="72FB7DFA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351CDC6D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Prawo Zamawiającego do unieważnienia postępowania</w:t>
      </w:r>
    </w:p>
    <w:p w14:paraId="2F411E23" w14:textId="77777777" w:rsidR="00656CC6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702DE4B3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unieważnić postępowanie w przypadkach, gdy: </w:t>
      </w:r>
    </w:p>
    <w:p w14:paraId="2BABABE0" w14:textId="77777777" w:rsidR="00656CC6" w:rsidRPr="00144E94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73ED8C29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Nie wpłynęła co najmniej jedna oferta nie podlegająca odrzuceniu,</w:t>
      </w:r>
    </w:p>
    <w:p w14:paraId="7B26EE49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 najkorzystniejszej oferty lub oferta z najniższą ceną przewyższa kwotę, jaką Zamawiający przeznaczył na sfinansowanie zamówienia, chyba że zamawiający może zwiększyć tę kwotę do ceny najkorzystniejszej oferty,</w:t>
      </w:r>
    </w:p>
    <w:p w14:paraId="1F906E38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Wystąpiła zmiana okoliczności powodująca, że prowadzenie postępowania lub realizacja zamówienia nie leży w interesie Zamawiającego,</w:t>
      </w:r>
    </w:p>
    <w:p w14:paraId="02E10C06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Postępowanie obarczone jest wadą uniemożliwiającą zawarcie ważnej umowy</w:t>
      </w:r>
    </w:p>
    <w:p w14:paraId="0E970611" w14:textId="77777777" w:rsidR="00656CC6" w:rsidRPr="00144E94" w:rsidRDefault="00656CC6" w:rsidP="00656CC6">
      <w:pPr>
        <w:pStyle w:val="Akapitzlist"/>
        <w:ind w:left="1068"/>
        <w:jc w:val="both"/>
        <w:rPr>
          <w:b/>
          <w:bCs/>
          <w:color w:val="000000" w:themeColor="text1"/>
          <w:sz w:val="20"/>
          <w:szCs w:val="20"/>
        </w:rPr>
      </w:pPr>
    </w:p>
    <w:p w14:paraId="52D08362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 unieważnieniu postępowania zamawiający zawiadamia jednocześni wszystkich wykonawców, którzy złożyli oferty – podając uzasadnienie faktyczne i prawne.</w:t>
      </w:r>
    </w:p>
    <w:p w14:paraId="244D22D7" w14:textId="77777777" w:rsidR="00656CC6" w:rsidRPr="00144E94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3E3E5C96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również zamknąć przetarg bez wybierania którejkolwiek z ofert. W takim przypadku o zamknięciu postępowania zamawiający zawiadamia jednocześnie wszystkich wykonawców, którzy ubiegali się o udzielenie zamówienia. </w:t>
      </w:r>
    </w:p>
    <w:p w14:paraId="7972AF18" w14:textId="77777777" w:rsidR="00656CC6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3FB42C4C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Środki ochrony prawnej</w:t>
      </w:r>
    </w:p>
    <w:p w14:paraId="7E142DC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72C569F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Środek ochrony prawnej określony w niniejszym dziale przysługuje wykonawcom, a także innym osobom, jeżeli ich interes prawny w uzyskaniu zamówienia doznał lub może doznać uszczerbku w wyniku naruszenia przez zamawiającego przepisów niniejszego regulaminu. </w:t>
      </w:r>
    </w:p>
    <w:p w14:paraId="2B040860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Wobec treści ogłoszenia o zamówienia, czynności podjętych przez zamawiającego w toku postępowania oraz w przypadku zaniechania przez zamawiającego czynności, do której jest obowiązany na podstawie regulaminu, można wnieść zażalenie do zamawiającego. </w:t>
      </w:r>
    </w:p>
    <w:p w14:paraId="54C212F4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Zażalenie wnosi się w terminie 5 dni od dnia, w którym powzięto lub można było powziąć wiadomość o okolicznościach stanowiących podstawę do jego wniesienia. Zażalenie uważa się za wniesione z chwilą, gdy dotarło ono do zamawiającego w taki sposób, że mógł zapoznać się z jego treścią. </w:t>
      </w:r>
    </w:p>
    <w:p w14:paraId="345E10CE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przypadku wniesienia zażalenia dotyczącego treści ogłoszenia lub postanowień SWZ, zamawiający może przedłużyć termin składania ofert. </w:t>
      </w:r>
    </w:p>
    <w:p w14:paraId="17B77379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Wniesienie zażalenia jest dopuszczalne tylko przed zawarciem umowy. </w:t>
      </w:r>
    </w:p>
    <w:p w14:paraId="73D5AB1E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odrzuca zażalenie wniesione po terminie lub wniesione przez podmiot nieuprawniony. </w:t>
      </w:r>
    </w:p>
    <w:p w14:paraId="671286A5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Zażalenie powinno wskazywać czynność, na którą wnoszone jest zażalenie lub zaniechanie czynności zamawiającego, a także zawierać żądanie, zwięzłe przytoczenie zarzutów oraz okoliczności faktycznych i prawnych uzasadniających wniesienie zażalenia. </w:t>
      </w:r>
    </w:p>
    <w:p w14:paraId="4CC465BF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przypadku wniesienia zażalenia po upływie terminu składania ofert, bieg terminu związania ofertą ulega zawieszeniu do czasu rozstrzygnięcia zażalenia. </w:t>
      </w:r>
    </w:p>
    <w:p w14:paraId="25802941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 zawieszeniu biegu terminu związania ofertą zamawiający informuje niezwłocznie wykonawców, którzy złożyli oferty. </w:t>
      </w:r>
    </w:p>
    <w:p w14:paraId="40BB666C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rozstrzyga zażalenia w terminie 7 dni od jego wniesienia. </w:t>
      </w:r>
    </w:p>
    <w:p w14:paraId="705525D5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Brak rozstrzygnięcia zażalenia w terminie, o którym mowa w ust. 10 uznaje się za jego oddalenie. </w:t>
      </w:r>
    </w:p>
    <w:p w14:paraId="0D994C1A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Do czasu rozstrzygnięcia zażalenia zamawiający nie może zawrzeć umowy.</w:t>
      </w:r>
    </w:p>
    <w:p w14:paraId="4D092E54" w14:textId="77777777" w:rsidR="00656CC6" w:rsidRPr="002B34F8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Od rozstrzygnięcia lub oddalenia zażalenia wykonawcy nie przysługuje odwołanie. </w:t>
      </w:r>
    </w:p>
    <w:p w14:paraId="74431EC9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4E00EFCB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Informacja o ochronie danych osobowych</w:t>
      </w:r>
    </w:p>
    <w:p w14:paraId="14FC127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55C4EC5" w14:textId="77777777" w:rsidR="00656CC6" w:rsidRPr="002B34F8" w:rsidRDefault="00656CC6" w:rsidP="00656CC6">
      <w:pPr>
        <w:spacing w:after="150" w:line="276" w:lineRule="auto"/>
        <w:ind w:firstLine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(Dz. Urz. UE L 119 z 04.05.2016, str. 1), dalej „RODO”, informuję, że: </w:t>
      </w:r>
    </w:p>
    <w:p w14:paraId="6146AD9C" w14:textId="77777777" w:rsidR="00656CC6" w:rsidRPr="002B34F8" w:rsidRDefault="00656CC6" w:rsidP="00CA47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426" w:hanging="426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Pani/Pana danych osobowych jest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/nazwa i adres oraz dane kontaktowe Zamawiającego/;</w:t>
      </w:r>
    </w:p>
    <w:p w14:paraId="6F7F35E7" w14:textId="77777777" w:rsidR="00656CC6" w:rsidRPr="002B34F8" w:rsidRDefault="00656CC6" w:rsidP="00CA479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Gminny Zakład Komunalny sp. z o.o. w Brzeźnicy, ul. Źródlana 4 , 39-207 Brzeźnica, </w:t>
      </w:r>
    </w:p>
    <w:p w14:paraId="7E43BEE6" w14:textId="77777777" w:rsidR="00656CC6" w:rsidRPr="002B34F8" w:rsidRDefault="00656CC6" w:rsidP="00CA4794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tel. 14 682 04 20, email:</w:t>
      </w:r>
      <w:r w:rsidRPr="002B34F8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biuro@gzkbrzeznica.pl</w:t>
      </w:r>
    </w:p>
    <w:p w14:paraId="07FF719F" w14:textId="77777777" w:rsidR="00656CC6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inspektorem ochrony danych w Gminny Zakład Komunalny sp. z o.o. w Brzeźnicy, ul. Źródlana 4 , 39-207 Brzeźnica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 /nazwa zamawiającego/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jest Pani/Pani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/imię i nazwisko, kontakt: adres e-mail, telefon/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vertAlign w:val="superscript"/>
          <w:lang w:eastAsia="pl-PL"/>
        </w:rPr>
        <w:t>*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;  Pani Joanna Kurgan, </w:t>
      </w:r>
      <w:r w:rsidRPr="002B34F8"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  <w:t xml:space="preserve">kontakt: 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rodo@lady.hub.pl</w:t>
      </w:r>
      <w:r w:rsidRPr="002B34F8"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  <w:t>, telefon: 14 682 04 20.</w:t>
      </w:r>
    </w:p>
    <w:p w14:paraId="6DB6A22C" w14:textId="106C8B99" w:rsidR="00656CC6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dane osobowe przetwarzane będą na podstawie</w:t>
      </w:r>
      <w:r w:rsidRPr="006F51C6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 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RODO w celu związanym z postępowaniem </w:t>
      </w:r>
      <w:r w:rsidR="00CA4794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        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 udzielenie zamówienia publicznego </w:t>
      </w:r>
      <w:r w:rsidRPr="006F51C6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/dane identyfikujące postępowanie, np. nazwa, numer/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: </w:t>
      </w:r>
      <w:r w:rsidRPr="006F51C6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„Sukcesywna dostawa materiałów remontowych i eksploatacyjnych sieci wodociągowych i kanalizacyjnych”</w:t>
      </w:r>
    </w:p>
    <w:p w14:paraId="127861C8" w14:textId="464AC16E" w:rsidR="00656CC6" w:rsidRPr="006F51C6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odbiorcami Pani/Pana danych osobowych jest/będą: każdy uzyskujący wgląd w dokumentację postępowania o udzielenie zamówienia – zgodnie z ustawą o dostępie do informacji publicznej. Ponadto Pani/Pana dane osobowe będą opublikowane na stronie internetowej Gminny Zakład Komunalny sp. z o.o. w Brzeźnicy, ul. Źródlana 4, 39-207 Brzeźnica w związku z ogłoszeniem </w:t>
      </w:r>
      <w:r w:rsidRPr="006F51C6">
        <w:rPr>
          <w:i/>
          <w:iCs/>
          <w:color w:val="000000" w:themeColor="text1"/>
          <w:sz w:val="20"/>
          <w:szCs w:val="20"/>
        </w:rPr>
        <w:t xml:space="preserve">sektorowego zamówienia podprogowe, którego wartość jest równa lub przekracza kwotę 130 000 zł, a jednocześnie nie przekracza progów unijnych, które to zamówienie nie podlega ustawie na podstawie art. 2 ust. 1 pkt 2 ustawy </w:t>
      </w:r>
      <w:r w:rsidR="00CA4794">
        <w:rPr>
          <w:i/>
          <w:iCs/>
          <w:color w:val="000000" w:themeColor="text1"/>
          <w:sz w:val="20"/>
          <w:szCs w:val="20"/>
        </w:rPr>
        <w:t>P</w:t>
      </w:r>
      <w:r w:rsidRPr="006F51C6">
        <w:rPr>
          <w:i/>
          <w:iCs/>
          <w:color w:val="000000" w:themeColor="text1"/>
          <w:sz w:val="20"/>
          <w:szCs w:val="20"/>
        </w:rPr>
        <w:t>zp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2F4BE96F" w14:textId="77777777" w:rsidR="00656CC6" w:rsidRPr="006F51C6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dane osobowe nie będą przekazywane do państwa trzeciego.</w:t>
      </w:r>
    </w:p>
    <w:p w14:paraId="0E470E82" w14:textId="6AC45EED" w:rsidR="00656CC6" w:rsidRPr="002B34F8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Pani/Pana dane osobowe będą przechowywane przez okres 5 lat od dnia zakończenia postępowania </w:t>
      </w:r>
      <w:r w:rsidR="00CA4794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              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 udzielenie zamówienia, a jeżeli czas trwania umowy w sprawie zamówienia publicznego przekracza 5 lat – przez cały czas trwania umowy. Po tym czasie dokumentacja zostanie przekazana do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archiwum zakładowego zgodnie z obowiązującą Procedurą Gminny Zakład Komunalny sp. z o.o. w Brzeźnicy, ul. Źródlana 4 , 39-207 Brzeźnica.</w:t>
      </w:r>
    </w:p>
    <w:p w14:paraId="57045A21" w14:textId="77777777" w:rsidR="00656CC6" w:rsidRPr="002B34F8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D029A13" w14:textId="77777777" w:rsidR="00656CC6" w:rsidRPr="002B34F8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posiada Pani/Pan:</w:t>
      </w:r>
    </w:p>
    <w:p w14:paraId="47DDAEEE" w14:textId="77777777" w:rsidR="00656CC6" w:rsidRPr="002B34F8" w:rsidRDefault="00656CC6" w:rsidP="00CA4794">
      <w:pPr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na podstawie art. 15 RODO prawo dostępu do danych osobowych Pani/Pana dotyczących;</w:t>
      </w:r>
    </w:p>
    <w:p w14:paraId="1E8CCD1C" w14:textId="77777777" w:rsidR="00656CC6" w:rsidRPr="002B34F8" w:rsidRDefault="00656CC6" w:rsidP="00CA4794">
      <w:pPr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na podstawie art. 16 RODO prawo do sprostowania Pani/Pana danych osobowych </w:t>
      </w:r>
      <w:r w:rsidRPr="002B34F8">
        <w:rPr>
          <w:rFonts w:eastAsia="Times New Roman" w:cstheme="minorHAnsi"/>
          <w:b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1AA56D30" w14:textId="77777777" w:rsidR="00656CC6" w:rsidRPr="002B34F8" w:rsidRDefault="00656CC6" w:rsidP="00CA4794">
      <w:pPr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75A7EE3" w14:textId="77777777" w:rsidR="00656CC6" w:rsidRPr="002B34F8" w:rsidRDefault="00656CC6" w:rsidP="00CA4794">
      <w:pPr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5C2AA00" w14:textId="77777777" w:rsidR="00656CC6" w:rsidRPr="002B34F8" w:rsidRDefault="00656CC6" w:rsidP="00CA4794">
      <w:pPr>
        <w:numPr>
          <w:ilvl w:val="0"/>
          <w:numId w:val="16"/>
        </w:numPr>
        <w:spacing w:after="200"/>
        <w:ind w:left="426" w:hanging="426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 przysługuje Pani/Panu:</w:t>
      </w:r>
    </w:p>
    <w:p w14:paraId="58008C2E" w14:textId="77777777" w:rsidR="00656CC6" w:rsidRPr="002B34F8" w:rsidRDefault="00656CC6" w:rsidP="00CA4794">
      <w:pPr>
        <w:numPr>
          <w:ilvl w:val="0"/>
          <w:numId w:val="15"/>
        </w:numPr>
        <w:spacing w:after="200"/>
        <w:ind w:left="709" w:hanging="283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związku z art. 17 ust. 3 lit. b, d lub e RODO prawo do usunięcia danych osobowych;</w:t>
      </w:r>
    </w:p>
    <w:p w14:paraId="280E93CF" w14:textId="77777777" w:rsidR="00656CC6" w:rsidRPr="002B34F8" w:rsidRDefault="00656CC6" w:rsidP="00CA4794">
      <w:pPr>
        <w:numPr>
          <w:ilvl w:val="0"/>
          <w:numId w:val="15"/>
        </w:numPr>
        <w:spacing w:after="200"/>
        <w:ind w:left="709" w:hanging="283"/>
        <w:contextualSpacing/>
        <w:jc w:val="both"/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przenoszenia danych osobowych, o którym mowa w art. 20 RODO;</w:t>
      </w:r>
    </w:p>
    <w:p w14:paraId="52493088" w14:textId="77777777" w:rsidR="00656CC6" w:rsidRPr="002B34F8" w:rsidRDefault="00656CC6" w:rsidP="00CA4794">
      <w:pPr>
        <w:numPr>
          <w:ilvl w:val="0"/>
          <w:numId w:val="15"/>
        </w:numPr>
        <w:spacing w:after="200"/>
        <w:ind w:left="709" w:hanging="283"/>
        <w:contextualSpacing/>
        <w:jc w:val="both"/>
        <w:rPr>
          <w:rFonts w:eastAsia="Times New Roman" w:cstheme="minorHAnsi"/>
          <w:bCs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CD7C46B" w14:textId="77777777" w:rsidR="00656CC6" w:rsidRPr="002B34F8" w:rsidRDefault="00656CC6" w:rsidP="00CA47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osobowych jest dobrowolne w celu zawarcia i wykonywania umowy łączącej Zamawiającego z wykonawcą, aczkolwiek odmowa ich podania uniemożliwia podjęcie współpracy pomiędzy w/w stronami</w:t>
      </w:r>
      <w:r w:rsidRPr="002B34F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>.</w:t>
      </w:r>
    </w:p>
    <w:p w14:paraId="5C97361B" w14:textId="77777777" w:rsidR="00656CC6" w:rsidRPr="002B34F8" w:rsidRDefault="00656CC6" w:rsidP="00656CC6">
      <w:pPr>
        <w:spacing w:after="150"/>
        <w:ind w:left="426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>*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 xml:space="preserve"> 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0037F9A" w14:textId="77777777" w:rsidR="00656CC6" w:rsidRPr="002B34F8" w:rsidRDefault="00656CC6" w:rsidP="00656CC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>**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>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11430FF7" w14:textId="31D6A012" w:rsidR="00656CC6" w:rsidRPr="002B34F8" w:rsidRDefault="00656CC6" w:rsidP="00656CC6">
      <w:pPr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 xml:space="preserve">      *** 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>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prawo do ograniczenia przetwarzania nie ma zastosowania w odniesieniu do przechowywania, w celu zapewnienia</w:t>
      </w:r>
      <w:r w:rsidR="00CA4794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</w:t>
      </w:r>
    </w:p>
    <w:p w14:paraId="54C8221D" w14:textId="77777777" w:rsidR="00656CC6" w:rsidRPr="002B34F8" w:rsidRDefault="00656CC6" w:rsidP="00656CC6">
      <w:pPr>
        <w:jc w:val="both"/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korzystania ze środków ochrony prawnej lub w celu ochrony praw innej osoby</w:t>
      </w: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 xml:space="preserve"> fizycznej lub prawnej, lub z uwagi na ważne względy</w:t>
      </w:r>
    </w:p>
    <w:p w14:paraId="1CD192E5" w14:textId="77777777" w:rsidR="00656CC6" w:rsidRPr="006F51C6" w:rsidRDefault="00656CC6" w:rsidP="00656CC6">
      <w:pPr>
        <w:spacing w:after="200" w:line="276" w:lineRule="auto"/>
        <w:jc w:val="both"/>
        <w:rPr>
          <w:rFonts w:eastAsia="Calibri" w:cstheme="minorHAnsi"/>
          <w:color w:val="000000" w:themeColor="text1"/>
          <w:sz w:val="16"/>
          <w:szCs w:val="16"/>
        </w:rPr>
      </w:pP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 xml:space="preserve">         interesu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</w:t>
      </w: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>publicznego Unii Europejskiej lub państwa członkowskiego</w:t>
      </w:r>
    </w:p>
    <w:p w14:paraId="2EFD254C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08CA0BD" w14:textId="77777777" w:rsidR="00656CC6" w:rsidRPr="006F51C6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F51C6">
        <w:rPr>
          <w:b/>
          <w:bCs/>
          <w:color w:val="000000" w:themeColor="text1"/>
        </w:rPr>
        <w:lastRenderedPageBreak/>
        <w:t>Załączniki do SWZ</w:t>
      </w:r>
    </w:p>
    <w:p w14:paraId="6DFF3B1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38BBA2C" w14:textId="77777777" w:rsidR="00656CC6" w:rsidRDefault="00656CC6" w:rsidP="00656CC6">
      <w:p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Załącznikami do niniejszej Specyfikacji Warunków Zamówienia, stanowiącymi jej integralną część, są:</w:t>
      </w:r>
    </w:p>
    <w:p w14:paraId="527226E4" w14:textId="77777777" w:rsidR="00656CC6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04ACAE1" w14:textId="690C12B9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nr 1 – </w:t>
      </w:r>
      <w:r w:rsidR="00C220A1">
        <w:rPr>
          <w:color w:val="000000" w:themeColor="text1"/>
          <w:sz w:val="20"/>
          <w:szCs w:val="20"/>
        </w:rPr>
        <w:t>f</w:t>
      </w:r>
      <w:r>
        <w:rPr>
          <w:color w:val="000000" w:themeColor="text1"/>
          <w:sz w:val="20"/>
          <w:szCs w:val="20"/>
        </w:rPr>
        <w:t xml:space="preserve">ormularz oferty </w:t>
      </w:r>
    </w:p>
    <w:p w14:paraId="5055C93E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2 – oświadczenie Wykonawcy</w:t>
      </w:r>
    </w:p>
    <w:p w14:paraId="06162F83" w14:textId="1D1C1F52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nr 3 – </w:t>
      </w:r>
      <w:r w:rsidR="00C220A1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ykaz cen</w:t>
      </w:r>
    </w:p>
    <w:p w14:paraId="1C296A3E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 – wzór umowy</w:t>
      </w:r>
    </w:p>
    <w:p w14:paraId="7BDD8218" w14:textId="77777777" w:rsidR="00656CC6" w:rsidRPr="007A280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5 – oświadczenie o niezaleganiu w podatkach</w:t>
      </w:r>
    </w:p>
    <w:p w14:paraId="4331D32A" w14:textId="77777777" w:rsidR="00CB700E" w:rsidRDefault="007A19B6"/>
    <w:sectPr w:rsidR="00CB700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7FEE" w14:textId="77777777" w:rsidR="007A19B6" w:rsidRDefault="007A19B6">
      <w:r>
        <w:separator/>
      </w:r>
    </w:p>
  </w:endnote>
  <w:endnote w:type="continuationSeparator" w:id="0">
    <w:p w14:paraId="37C78526" w14:textId="77777777" w:rsidR="007A19B6" w:rsidRDefault="007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F7B4" w14:textId="77777777" w:rsidR="007A19B6" w:rsidRDefault="007A19B6">
      <w:r>
        <w:separator/>
      </w:r>
    </w:p>
  </w:footnote>
  <w:footnote w:type="continuationSeparator" w:id="0">
    <w:p w14:paraId="77298ED3" w14:textId="77777777" w:rsidR="007A19B6" w:rsidRDefault="007A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10AE" w14:textId="77777777" w:rsidR="00A435D5" w:rsidRDefault="007A1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439"/>
    <w:multiLevelType w:val="hybridMultilevel"/>
    <w:tmpl w:val="A0F682EA"/>
    <w:lvl w:ilvl="0" w:tplc="A69A0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A90AC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B4F"/>
    <w:multiLevelType w:val="hybridMultilevel"/>
    <w:tmpl w:val="63E23E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5A4CA4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372861F8">
      <w:start w:val="1"/>
      <w:numFmt w:val="decimal"/>
      <w:lvlText w:val="%3)"/>
      <w:lvlJc w:val="left"/>
      <w:pPr>
        <w:ind w:left="1068" w:hanging="360"/>
      </w:pPr>
      <w:rPr>
        <w:rFonts w:hint="default"/>
        <w:b/>
        <w:bCs/>
        <w:i w:val="0"/>
        <w:color w:val="auto"/>
      </w:rPr>
    </w:lvl>
    <w:lvl w:ilvl="3" w:tplc="1866423C">
      <w:start w:val="1"/>
      <w:numFmt w:val="lowerLetter"/>
      <w:lvlText w:val="%4."/>
      <w:lvlJc w:val="left"/>
      <w:pPr>
        <w:ind w:left="144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96A"/>
    <w:multiLevelType w:val="hybridMultilevel"/>
    <w:tmpl w:val="E32ED87E"/>
    <w:lvl w:ilvl="0" w:tplc="D7AA4A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2D11D5"/>
    <w:multiLevelType w:val="hybridMultilevel"/>
    <w:tmpl w:val="30CC4A54"/>
    <w:lvl w:ilvl="0" w:tplc="C866AD4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i w:val="0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ED2895"/>
    <w:multiLevelType w:val="hybridMultilevel"/>
    <w:tmpl w:val="AFD2AF96"/>
    <w:lvl w:ilvl="0" w:tplc="86141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0B1E"/>
    <w:multiLevelType w:val="hybridMultilevel"/>
    <w:tmpl w:val="9A9CE12C"/>
    <w:lvl w:ilvl="0" w:tplc="ECB0D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208"/>
    <w:multiLevelType w:val="hybridMultilevel"/>
    <w:tmpl w:val="32FC7C56"/>
    <w:lvl w:ilvl="0" w:tplc="758010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07DDA"/>
    <w:multiLevelType w:val="hybridMultilevel"/>
    <w:tmpl w:val="A9523FE0"/>
    <w:lvl w:ilvl="0" w:tplc="C866AD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6D3F"/>
    <w:multiLevelType w:val="hybridMultilevel"/>
    <w:tmpl w:val="E88E2474"/>
    <w:lvl w:ilvl="0" w:tplc="E9DC65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660D3"/>
    <w:multiLevelType w:val="hybridMultilevel"/>
    <w:tmpl w:val="DEF4C3D6"/>
    <w:lvl w:ilvl="0" w:tplc="79343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32A3"/>
    <w:multiLevelType w:val="hybridMultilevel"/>
    <w:tmpl w:val="7DF6B784"/>
    <w:lvl w:ilvl="0" w:tplc="DDAEF4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225B3"/>
    <w:multiLevelType w:val="hybridMultilevel"/>
    <w:tmpl w:val="1EDE6D12"/>
    <w:lvl w:ilvl="0" w:tplc="D54E9A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3D7C"/>
    <w:multiLevelType w:val="hybridMultilevel"/>
    <w:tmpl w:val="6D442EA4"/>
    <w:lvl w:ilvl="0" w:tplc="ADDA0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C5D6E"/>
    <w:multiLevelType w:val="hybridMultilevel"/>
    <w:tmpl w:val="023C0748"/>
    <w:lvl w:ilvl="0" w:tplc="672690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3E6E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16948"/>
    <w:multiLevelType w:val="hybridMultilevel"/>
    <w:tmpl w:val="EC2AA20C"/>
    <w:lvl w:ilvl="0" w:tplc="436E3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C6"/>
    <w:rsid w:val="000472C3"/>
    <w:rsid w:val="000D1964"/>
    <w:rsid w:val="00181B60"/>
    <w:rsid w:val="00280F6C"/>
    <w:rsid w:val="00283E53"/>
    <w:rsid w:val="00351944"/>
    <w:rsid w:val="003618A9"/>
    <w:rsid w:val="003B04F6"/>
    <w:rsid w:val="004B7091"/>
    <w:rsid w:val="00656CC6"/>
    <w:rsid w:val="00677274"/>
    <w:rsid w:val="00682144"/>
    <w:rsid w:val="006C1A0F"/>
    <w:rsid w:val="007607FF"/>
    <w:rsid w:val="007900DA"/>
    <w:rsid w:val="007A0055"/>
    <w:rsid w:val="007A19B6"/>
    <w:rsid w:val="007B0418"/>
    <w:rsid w:val="007B27DC"/>
    <w:rsid w:val="00A85626"/>
    <w:rsid w:val="00B93569"/>
    <w:rsid w:val="00BC0257"/>
    <w:rsid w:val="00BF4CDA"/>
    <w:rsid w:val="00C220A1"/>
    <w:rsid w:val="00CA4794"/>
    <w:rsid w:val="00D32FFA"/>
    <w:rsid w:val="00DB56D1"/>
    <w:rsid w:val="00E7643D"/>
    <w:rsid w:val="00EB099C"/>
    <w:rsid w:val="00F048B3"/>
    <w:rsid w:val="00F142AE"/>
    <w:rsid w:val="00F2146C"/>
    <w:rsid w:val="00F414FB"/>
    <w:rsid w:val="00F452C3"/>
    <w:rsid w:val="00FA2422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508"/>
  <w15:chartTrackingRefBased/>
  <w15:docId w15:val="{CAD36EE3-CF61-4C0C-82D6-95A8604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C6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6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56C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CC6"/>
    <w:rPr>
      <w:color w:val="0563C1" w:themeColor="hyperlink"/>
      <w:u w:val="single"/>
    </w:rPr>
  </w:style>
  <w:style w:type="paragraph" w:styleId="NormalnyWeb">
    <w:name w:val="Normal (Web)"/>
    <w:basedOn w:val="Normalny"/>
    <w:rsid w:val="00656CC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C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5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6CC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kbrzeznic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a.kuzminska@gzkbrzeznic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lawomir.czuba@gzkbrzez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o@gzkbrzezn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5707</Words>
  <Characters>34244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mpawlowska</dc:creator>
  <cp:keywords/>
  <dc:description/>
  <cp:lastModifiedBy>DELL</cp:lastModifiedBy>
  <cp:revision>22</cp:revision>
  <cp:lastPrinted>2022-03-23T09:17:00Z</cp:lastPrinted>
  <dcterms:created xsi:type="dcterms:W3CDTF">2021-02-16T12:08:00Z</dcterms:created>
  <dcterms:modified xsi:type="dcterms:W3CDTF">2022-03-29T07:15:00Z</dcterms:modified>
</cp:coreProperties>
</file>